
<file path=[Content_Types].xml><?xml version="1.0" encoding="utf-8"?>
<Types xmlns="http://schemas.openxmlformats.org/package/2006/content-types">
  <Default Extension="bin" ContentType="application/vnd.openxmlformats-officedocument.oleObject"/>
  <Default Extension="jpg" ContentType="image/jpeg"/>
  <Default Extension="rels" ContentType="application/vnd.openxmlformats-package.relationships+xml"/>
  <Default Extension="gif" ContentType="image/gif"/>
  <Default Extension="jpeg" ContentType="image/jpeg"/>
  <Default Extension="xml" ContentType="application/xml"/>
  <Default Extension="png" ContentType="image/png"/>
  <Default Extension="wmf" ContentType="image/x-wmf"/>
  <Default Extension="xlsx" ContentType="application/vnd.openxmlformats-officedocument.spreadsheetml.sheet"/>
  <Override PartName="/customXml/itemProps1.xml" ContentType="application/vnd.openxmlformats-officedocument.customXmlProperties+xml"/>
  <Override PartName="/word/document.xml" ContentType="application/vnd.openxmlformats-officedocument.wordprocessingml.document.main+xml"/>
  <Override PartName="/word/styles.xml" ContentType="application/vnd.openxmlformats-officedocument.wordprocessingml.styles+xml"/>
  <Override PartName="/word/charts/style1.xml" ContentType="application/vnd.ms-office.chartstyle+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settings.xml" ContentType="application/vnd.openxmlformats-officedocument.wordprocessingml.settings+xml"/>
  <Override PartName="/word/footnotes.xml" ContentType="application/vnd.openxmlformats-officedocument.wordprocessingml.footnotes+xml"/>
  <Override PartName="/word/endnotes.xml" ContentType="application/vnd.openxmlformats-officedocument.wordprocessingml.endnotes+xml"/>
  <Override PartName="/word/charts/style2.xml" ContentType="application/vnd.ms-office.chartstyle+xml"/>
  <Override PartName="/word/header1.xml" ContentType="application/vnd.openxmlformats-officedocument.wordprocessingml.header+xml"/>
  <Override PartName="/word/charts/colors1.xml" ContentType="application/vnd.ms-office.chartcolorstyle+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olors2.xml" ContentType="application/vnd.ms-office.chartcolorstyle+xml"/>
  <Override PartName="/docProps/app.xml" ContentType="application/vnd.openxmlformats-officedocument.extended-properties+xml"/>
  <Override PartName="/docProps/core.xml" ContentType="application/vnd.openxmlformats-package.core-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14:paraId="4801497D" w14:textId="77777777">
      <w:pPr>
        <w:pBdr/>
        <w:spacing w:after="120" w:line="240" w:lineRule="auto"/>
        <w:ind/>
        <w:jc w:val="center"/>
        <w:rPr>
          <w:rFonts w:ascii="Georgia" w:hAnsi="Georgia" w:cs="Arial"/>
          <w:b/>
          <w:sz w:val="24"/>
          <w:szCs w:val="24"/>
        </w:rPr>
      </w:pPr>
      <w:r>
        <w:rPr>
          <w:rFonts w:ascii="Georgia" w:hAnsi="Georgia" w:cs="Arial"/>
          <w:b/>
          <w:sz w:val="28"/>
          <w:szCs w:val="28"/>
        </w:rPr>
        <w:t xml:space="preserve">As interações espaciais na Região Geográfica Imediata de Alfenas-MG no contexto de reestruturação</w:t>
      </w:r>
      <w:r>
        <w:rPr>
          <w:rFonts w:ascii="Georgia" w:hAnsi="Georgia" w:cs="Arial"/>
          <w:b/>
          <w:sz w:val="24"/>
          <w:szCs w:val="24"/>
        </w:rPr>
        <w:t xml:space="preserve"> produtiva</w:t>
      </w:r>
      <w:r>
        <w:rPr>
          <w:rFonts w:ascii="Georgia" w:hAnsi="Georgia" w:cs="Arial"/>
          <w:b/>
          <w:sz w:val="24"/>
          <w:szCs w:val="24"/>
        </w:rPr>
      </w:r>
    </w:p>
    <w:p w14:paraId="746D190C" w14:textId="77777777">
      <w:pPr>
        <w:pBdr/>
        <w:spacing w:after="120" w:line="240" w:lineRule="auto"/>
        <w:ind/>
        <w:jc w:val="center"/>
        <w:rPr>
          <w:rFonts w:ascii="Georgia" w:hAnsi="Georgia" w:cs="Arial"/>
          <w:b/>
          <w:bCs/>
          <w:sz w:val="24"/>
          <w:szCs w:val="24"/>
        </w:rPr>
      </w:pPr>
      <w:r>
        <w:rPr>
          <w:rFonts w:ascii="Georgia" w:hAnsi="Georgia" w:cs="Arial"/>
          <w:b/>
          <w:bCs/>
          <w:sz w:val="24"/>
          <w:szCs w:val="24"/>
        </w:rPr>
        <w:t xml:space="preserve">Spatial</w:t>
      </w:r>
      <w:r>
        <w:rPr>
          <w:rFonts w:ascii="Georgia" w:hAnsi="Georgia" w:cs="Arial"/>
          <w:b/>
          <w:bCs/>
          <w:sz w:val="24"/>
          <w:szCs w:val="24"/>
        </w:rPr>
        <w:t xml:space="preserve"> </w:t>
      </w:r>
      <w:r>
        <w:rPr>
          <w:rFonts w:ascii="Georgia" w:hAnsi="Georgia" w:cs="Arial"/>
          <w:b/>
          <w:bCs/>
          <w:sz w:val="24"/>
          <w:szCs w:val="24"/>
        </w:rPr>
        <w:t xml:space="preserve">interactions</w:t>
      </w:r>
      <w:r>
        <w:rPr>
          <w:rFonts w:ascii="Georgia" w:hAnsi="Georgia" w:cs="Arial"/>
          <w:b/>
          <w:bCs/>
          <w:sz w:val="24"/>
          <w:szCs w:val="24"/>
        </w:rPr>
        <w:t xml:space="preserve"> in </w:t>
      </w:r>
      <w:r>
        <w:rPr>
          <w:rFonts w:ascii="Georgia" w:hAnsi="Georgia" w:cs="Arial"/>
          <w:b/>
          <w:bCs/>
          <w:sz w:val="24"/>
          <w:szCs w:val="24"/>
        </w:rPr>
        <w:t xml:space="preserve">the</w:t>
      </w:r>
      <w:r>
        <w:rPr>
          <w:rFonts w:ascii="Georgia" w:hAnsi="Georgia" w:cs="Arial"/>
          <w:b/>
          <w:bCs/>
          <w:sz w:val="24"/>
          <w:szCs w:val="24"/>
        </w:rPr>
        <w:t xml:space="preserve"> </w:t>
      </w:r>
      <w:r>
        <w:rPr>
          <w:rFonts w:ascii="Georgia" w:hAnsi="Georgia" w:cs="Arial"/>
          <w:b/>
          <w:bCs/>
          <w:sz w:val="24"/>
          <w:szCs w:val="24"/>
        </w:rPr>
        <w:t xml:space="preserve">Immediate</w:t>
      </w:r>
      <w:r>
        <w:rPr>
          <w:rFonts w:ascii="Georgia" w:hAnsi="Georgia" w:cs="Arial"/>
          <w:b/>
          <w:bCs/>
          <w:sz w:val="24"/>
          <w:szCs w:val="24"/>
        </w:rPr>
        <w:t xml:space="preserve"> </w:t>
      </w:r>
      <w:r>
        <w:rPr>
          <w:rFonts w:ascii="Georgia" w:hAnsi="Georgia" w:cs="Arial"/>
          <w:b/>
          <w:bCs/>
          <w:sz w:val="24"/>
          <w:szCs w:val="24"/>
        </w:rPr>
        <w:t xml:space="preserve">Geographic</w:t>
      </w:r>
      <w:r>
        <w:rPr>
          <w:rFonts w:ascii="Georgia" w:hAnsi="Georgia" w:cs="Arial"/>
          <w:b/>
          <w:bCs/>
          <w:sz w:val="24"/>
          <w:szCs w:val="24"/>
        </w:rPr>
        <w:t xml:space="preserve"> </w:t>
      </w:r>
      <w:r>
        <w:rPr>
          <w:rFonts w:ascii="Georgia" w:hAnsi="Georgia" w:cs="Arial"/>
          <w:b/>
          <w:bCs/>
          <w:sz w:val="24"/>
          <w:szCs w:val="24"/>
        </w:rPr>
        <w:t xml:space="preserve">Region</w:t>
      </w:r>
      <w:r>
        <w:rPr>
          <w:rFonts w:ascii="Georgia" w:hAnsi="Georgia" w:cs="Arial"/>
          <w:b/>
          <w:bCs/>
          <w:sz w:val="24"/>
          <w:szCs w:val="24"/>
        </w:rPr>
        <w:t xml:space="preserve"> </w:t>
      </w:r>
      <w:r>
        <w:rPr>
          <w:rFonts w:ascii="Georgia" w:hAnsi="Georgia" w:cs="Arial"/>
          <w:b/>
          <w:bCs/>
          <w:sz w:val="24"/>
          <w:szCs w:val="24"/>
        </w:rPr>
        <w:t xml:space="preserve">of</w:t>
      </w:r>
      <w:r>
        <w:rPr>
          <w:rFonts w:ascii="Georgia" w:hAnsi="Georgia" w:cs="Arial"/>
          <w:b/>
          <w:bCs/>
          <w:sz w:val="24"/>
          <w:szCs w:val="24"/>
        </w:rPr>
        <w:t xml:space="preserve"> Alfenas-MG in </w:t>
      </w:r>
      <w:r>
        <w:rPr>
          <w:rFonts w:ascii="Georgia" w:hAnsi="Georgia" w:cs="Arial"/>
          <w:b/>
          <w:bCs/>
          <w:sz w:val="24"/>
          <w:szCs w:val="24"/>
        </w:rPr>
        <w:t xml:space="preserve">the</w:t>
      </w:r>
      <w:r>
        <w:rPr>
          <w:rFonts w:ascii="Georgia" w:hAnsi="Georgia" w:cs="Arial"/>
          <w:b/>
          <w:bCs/>
          <w:sz w:val="24"/>
          <w:szCs w:val="24"/>
        </w:rPr>
        <w:t xml:space="preserve"> </w:t>
      </w:r>
      <w:r>
        <w:rPr>
          <w:rFonts w:ascii="Georgia" w:hAnsi="Georgia" w:cs="Arial"/>
          <w:b/>
          <w:bCs/>
          <w:sz w:val="24"/>
          <w:szCs w:val="24"/>
        </w:rPr>
        <w:t xml:space="preserve">context</w:t>
      </w:r>
      <w:r>
        <w:rPr>
          <w:rFonts w:ascii="Georgia" w:hAnsi="Georgia" w:cs="Arial"/>
          <w:b/>
          <w:bCs/>
          <w:sz w:val="24"/>
          <w:szCs w:val="24"/>
        </w:rPr>
        <w:t xml:space="preserve"> </w:t>
      </w:r>
      <w:r>
        <w:rPr>
          <w:rFonts w:ascii="Georgia" w:hAnsi="Georgia" w:cs="Arial"/>
          <w:b/>
          <w:bCs/>
          <w:sz w:val="24"/>
          <w:szCs w:val="24"/>
        </w:rPr>
        <w:t xml:space="preserve">of</w:t>
      </w:r>
      <w:r>
        <w:rPr>
          <w:rFonts w:ascii="Georgia" w:hAnsi="Georgia" w:cs="Arial"/>
          <w:b/>
          <w:bCs/>
          <w:sz w:val="24"/>
          <w:szCs w:val="24"/>
        </w:rPr>
        <w:t xml:space="preserve"> </w:t>
      </w:r>
      <w:r>
        <w:rPr>
          <w:rFonts w:ascii="Georgia" w:hAnsi="Georgia" w:cs="Arial"/>
          <w:b/>
          <w:bCs/>
          <w:sz w:val="24"/>
          <w:szCs w:val="24"/>
        </w:rPr>
        <w:t xml:space="preserve">productive</w:t>
      </w:r>
      <w:r>
        <w:rPr>
          <w:rFonts w:ascii="Georgia" w:hAnsi="Georgia" w:cs="Arial"/>
          <w:b/>
          <w:bCs/>
          <w:sz w:val="24"/>
          <w:szCs w:val="24"/>
        </w:rPr>
        <w:t xml:space="preserve"> </w:t>
      </w:r>
      <w:r>
        <w:rPr>
          <w:rFonts w:ascii="Georgia" w:hAnsi="Georgia" w:cs="Arial"/>
          <w:b/>
          <w:bCs/>
          <w:sz w:val="24"/>
          <w:szCs w:val="24"/>
        </w:rPr>
        <w:t xml:space="preserve">restructuring</w:t>
      </w:r>
      <w:r>
        <w:rPr>
          <w:rFonts w:ascii="Georgia" w:hAnsi="Georgia" w:cs="Arial"/>
          <w:b/>
          <w:bCs/>
          <w:sz w:val="24"/>
          <w:szCs w:val="24"/>
        </w:rPr>
      </w:r>
    </w:p>
    <w:p w14:paraId="1866DCFE" w14:textId="77777777">
      <w:pPr>
        <w:pBdr/>
        <w:spacing w:after="120" w:line="240" w:lineRule="auto"/>
        <w:ind/>
        <w:jc w:val="center"/>
        <w:rPr>
          <w:rFonts w:ascii="Georgia" w:hAnsi="Georgia"/>
          <w:b/>
          <w:bCs/>
          <w:sz w:val="24"/>
          <w:szCs w:val="24"/>
        </w:rPr>
      </w:pPr>
      <w:r>
        <w:rPr>
          <w:rFonts w:ascii="Georgia" w:hAnsi="Georgia"/>
          <w:b/>
          <w:bCs/>
          <w:sz w:val="24"/>
          <w:szCs w:val="24"/>
        </w:rPr>
        <w:t xml:space="preserve">Las</w:t>
      </w:r>
      <w:r>
        <w:rPr>
          <w:rFonts w:ascii="Georgia" w:hAnsi="Georgia"/>
          <w:b/>
          <w:bCs/>
          <w:sz w:val="24"/>
          <w:szCs w:val="24"/>
        </w:rPr>
        <w:t xml:space="preserve"> </w:t>
      </w:r>
      <w:r>
        <w:rPr>
          <w:rFonts w:ascii="Georgia" w:hAnsi="Georgia"/>
          <w:b/>
          <w:bCs/>
          <w:sz w:val="24"/>
          <w:szCs w:val="24"/>
        </w:rPr>
        <w:t xml:space="preserve">interacciones</w:t>
      </w:r>
      <w:r>
        <w:rPr>
          <w:rFonts w:ascii="Georgia" w:hAnsi="Georgia"/>
          <w:b/>
          <w:bCs/>
          <w:sz w:val="24"/>
          <w:szCs w:val="24"/>
        </w:rPr>
        <w:t xml:space="preserve"> </w:t>
      </w:r>
      <w:r>
        <w:rPr>
          <w:rFonts w:ascii="Georgia" w:hAnsi="Georgia"/>
          <w:b/>
          <w:bCs/>
          <w:sz w:val="24"/>
          <w:szCs w:val="24"/>
        </w:rPr>
        <w:t xml:space="preserve">espaciales</w:t>
      </w:r>
      <w:r>
        <w:rPr>
          <w:rFonts w:ascii="Georgia" w:hAnsi="Georgia"/>
          <w:b/>
          <w:bCs/>
          <w:sz w:val="24"/>
          <w:szCs w:val="24"/>
        </w:rPr>
        <w:t xml:space="preserve"> </w:t>
      </w:r>
      <w:r>
        <w:rPr>
          <w:rFonts w:ascii="Georgia" w:hAnsi="Georgia"/>
          <w:b/>
          <w:bCs/>
          <w:sz w:val="24"/>
          <w:szCs w:val="24"/>
        </w:rPr>
        <w:t xml:space="preserve">en</w:t>
      </w:r>
      <w:r>
        <w:rPr>
          <w:rFonts w:ascii="Georgia" w:hAnsi="Georgia"/>
          <w:b/>
          <w:bCs/>
          <w:sz w:val="24"/>
          <w:szCs w:val="24"/>
        </w:rPr>
        <w:t xml:space="preserve"> </w:t>
      </w:r>
      <w:r>
        <w:rPr>
          <w:rFonts w:ascii="Georgia" w:hAnsi="Georgia"/>
          <w:b/>
          <w:bCs/>
          <w:sz w:val="24"/>
          <w:szCs w:val="24"/>
        </w:rPr>
        <w:t xml:space="preserve">la</w:t>
      </w:r>
      <w:r>
        <w:rPr>
          <w:rFonts w:ascii="Georgia" w:hAnsi="Georgia"/>
          <w:b/>
          <w:bCs/>
          <w:sz w:val="24"/>
          <w:szCs w:val="24"/>
        </w:rPr>
        <w:t xml:space="preserve"> </w:t>
      </w:r>
      <w:r>
        <w:rPr>
          <w:rFonts w:ascii="Georgia" w:hAnsi="Georgia"/>
          <w:b/>
          <w:bCs/>
          <w:sz w:val="24"/>
          <w:szCs w:val="24"/>
        </w:rPr>
        <w:t xml:space="preserve">Región</w:t>
      </w:r>
      <w:r>
        <w:rPr>
          <w:rFonts w:ascii="Georgia" w:hAnsi="Georgia"/>
          <w:b/>
          <w:bCs/>
          <w:sz w:val="24"/>
          <w:szCs w:val="24"/>
        </w:rPr>
        <w:t xml:space="preserve"> Geográfica </w:t>
      </w:r>
      <w:r>
        <w:rPr>
          <w:rFonts w:ascii="Georgia" w:hAnsi="Georgia"/>
          <w:b/>
          <w:bCs/>
          <w:sz w:val="24"/>
          <w:szCs w:val="24"/>
        </w:rPr>
        <w:t xml:space="preserve">Inmediata</w:t>
      </w:r>
      <w:r>
        <w:rPr>
          <w:rFonts w:ascii="Georgia" w:hAnsi="Georgia"/>
          <w:b/>
          <w:bCs/>
          <w:sz w:val="24"/>
          <w:szCs w:val="24"/>
        </w:rPr>
        <w:t xml:space="preserve"> de Alfenas-MG </w:t>
      </w:r>
      <w:r>
        <w:rPr>
          <w:rFonts w:ascii="Georgia" w:hAnsi="Georgia"/>
          <w:b/>
          <w:bCs/>
          <w:sz w:val="24"/>
          <w:szCs w:val="24"/>
        </w:rPr>
        <w:t xml:space="preserve">en</w:t>
      </w:r>
      <w:r>
        <w:rPr>
          <w:rFonts w:ascii="Georgia" w:hAnsi="Georgia"/>
          <w:b/>
          <w:bCs/>
          <w:sz w:val="24"/>
          <w:szCs w:val="24"/>
        </w:rPr>
        <w:t xml:space="preserve"> </w:t>
      </w:r>
      <w:r>
        <w:rPr>
          <w:rFonts w:ascii="Georgia" w:hAnsi="Georgia"/>
          <w:b/>
          <w:bCs/>
          <w:sz w:val="24"/>
          <w:szCs w:val="24"/>
        </w:rPr>
        <w:t xml:space="preserve">el</w:t>
      </w:r>
      <w:r>
        <w:rPr>
          <w:rFonts w:ascii="Georgia" w:hAnsi="Georgia"/>
          <w:b/>
          <w:bCs/>
          <w:sz w:val="24"/>
          <w:szCs w:val="24"/>
        </w:rPr>
        <w:t xml:space="preserve"> contexto de </w:t>
      </w:r>
      <w:r>
        <w:rPr>
          <w:rFonts w:ascii="Georgia" w:hAnsi="Georgia"/>
          <w:b/>
          <w:bCs/>
          <w:sz w:val="24"/>
          <w:szCs w:val="24"/>
        </w:rPr>
        <w:t xml:space="preserve">la</w:t>
      </w:r>
      <w:r>
        <w:rPr>
          <w:rFonts w:ascii="Georgia" w:hAnsi="Georgia"/>
          <w:b/>
          <w:bCs/>
          <w:sz w:val="24"/>
          <w:szCs w:val="24"/>
        </w:rPr>
        <w:t xml:space="preserve"> </w:t>
      </w:r>
      <w:r>
        <w:rPr>
          <w:rFonts w:ascii="Georgia" w:hAnsi="Georgia"/>
          <w:b/>
          <w:bCs/>
          <w:sz w:val="24"/>
          <w:szCs w:val="24"/>
        </w:rPr>
        <w:t xml:space="preserve">reestructuración</w:t>
      </w:r>
      <w:r>
        <w:rPr>
          <w:rFonts w:ascii="Georgia" w:hAnsi="Georgia"/>
          <w:b/>
          <w:bCs/>
          <w:sz w:val="24"/>
          <w:szCs w:val="24"/>
        </w:rPr>
        <w:t xml:space="preserve"> </w:t>
      </w:r>
      <w:r>
        <w:rPr>
          <w:rFonts w:ascii="Georgia" w:hAnsi="Georgia"/>
          <w:b/>
          <w:bCs/>
          <w:sz w:val="24"/>
          <w:szCs w:val="24"/>
        </w:rPr>
        <w:t xml:space="preserve">productiva</w:t>
      </w:r>
      <w:r>
        <w:rPr>
          <w:rFonts w:ascii="Georgia" w:hAnsi="Georgia"/>
          <w:b/>
          <w:bCs/>
          <w:sz w:val="24"/>
          <w:szCs w:val="24"/>
        </w:rPr>
      </w:r>
    </w:p>
    <w:p w14:paraId="12735B15" w14:textId="6E79FC8F">
      <w:pPr>
        <w:pBdr/>
        <w:spacing/>
        <w:ind/>
        <w:jc w:val="center"/>
        <w:rPr>
          <w:rFonts w:ascii="Georgia" w:hAnsi="Georgia"/>
        </w:rPr>
      </w:pPr>
      <w:r>
        <w:rPr>
          <w:rFonts w:ascii="Georgia" w:hAnsi="Georgia"/>
        </w:rPr>
      </w:r>
      <w:r>
        <w:rPr>
          <w:rFonts w:ascii="Georgia" w:hAnsi="Georgia"/>
        </w:rPr>
      </w:r>
    </w:p>
    <w:p w14:paraId="105EDF82" w14:textId="77777777">
      <w:pPr>
        <w:pBdr/>
        <w:spacing w:after="120" w:line="240" w:lineRule="auto"/>
        <w:ind/>
        <w:jc w:val="right"/>
        <w:rPr>
          <w:rFonts w:ascii="Georgia" w:hAnsi="Georgia"/>
          <w:sz w:val="20"/>
          <w:szCs w:val="20"/>
        </w:rPr>
      </w:pPr>
      <w:r>
        <w:rPr>
          <w:rFonts w:ascii="Georgia" w:hAnsi="Georgia"/>
          <w:sz w:val="20"/>
          <w:szCs w:val="20"/>
        </w:rPr>
        <w:t xml:space="preserve">Evânio</w:t>
      </w:r>
      <w:r>
        <w:rPr>
          <w:rFonts w:ascii="Georgia" w:hAnsi="Georgia"/>
          <w:sz w:val="20"/>
          <w:szCs w:val="20"/>
        </w:rPr>
        <w:t xml:space="preserve"> dos Santos Branquinho – evanio.branquinho@unifal-mg.edu.br</w:t>
      </w:r>
      <w:r>
        <w:rPr>
          <w:rFonts w:ascii="Georgia" w:hAnsi="Georgia"/>
          <w:sz w:val="20"/>
          <w:szCs w:val="20"/>
        </w:rPr>
      </w:r>
    </w:p>
    <w:p w14:paraId="22B13F91" w14:textId="77777777">
      <w:pPr>
        <w:pBdr/>
        <w:spacing w:after="120" w:line="240" w:lineRule="auto"/>
        <w:ind/>
        <w:jc w:val="right"/>
        <w:rPr>
          <w:rFonts w:ascii="Georgia" w:hAnsi="Georgia"/>
          <w:sz w:val="20"/>
          <w:szCs w:val="20"/>
        </w:rPr>
      </w:pPr>
      <w:r>
        <w:rPr>
          <w:rFonts w:ascii="Georgia" w:hAnsi="Georgia"/>
          <w:sz w:val="20"/>
          <w:szCs w:val="20"/>
        </w:rPr>
        <w:t xml:space="preserve">Professor da Universidade Federal de Alfenas-MG</w:t>
      </w:r>
      <w:r>
        <w:rPr>
          <w:rFonts w:ascii="Georgia" w:hAnsi="Georgia"/>
          <w:sz w:val="20"/>
          <w:szCs w:val="20"/>
        </w:rPr>
      </w:r>
    </w:p>
    <w:p w14:paraId="4C94CF3E" w14:textId="04E06024">
      <w:pPr>
        <w:pBdr/>
        <w:spacing w:after="0" w:line="240" w:lineRule="auto"/>
        <w:ind/>
        <w:jc w:val="right"/>
        <w:rPr>
          <w:rFonts w:ascii="Georgia" w:hAnsi="Georgia"/>
          <w:sz w:val="20"/>
          <w:szCs w:val="20"/>
        </w:rPr>
      </w:pPr>
      <w:r>
        <w:rPr>
          <w:rFonts w:ascii="Georgia" w:hAnsi="Georgia"/>
          <w:sz w:val="20"/>
          <w:szCs w:val="20"/>
        </w:rPr>
        <w:t xml:space="preserve">Orcid</w:t>
      </w:r>
      <w:r>
        <w:rPr>
          <w:rFonts w:ascii="Georgia" w:hAnsi="Georgia"/>
          <w:sz w:val="20"/>
          <w:szCs w:val="20"/>
        </w:rPr>
        <w:t xml:space="preserve"> : </w:t>
      </w:r>
      <w:hyperlink r:id="rId11" w:tooltip="https://orcid.org/0000-0001-6867-9740" w:history="1">
        <w:r>
          <w:rPr>
            <w:rStyle w:val="847"/>
            <w:rFonts w:ascii="Georgia" w:hAnsi="Georgia"/>
            <w:sz w:val="20"/>
            <w:szCs w:val="20"/>
          </w:rPr>
          <w:t xml:space="preserve">https://orcid.org/0000-0001-6867-9740</w:t>
        </w:r>
      </w:hyperlink>
      <w:r/>
      <w:r>
        <w:rPr>
          <w:rFonts w:ascii="Georgia" w:hAnsi="Georgia"/>
          <w:sz w:val="20"/>
          <w:szCs w:val="20"/>
        </w:rPr>
      </w:r>
    </w:p>
    <w:p w14:paraId="14D4DB50" w14:textId="77777777">
      <w:pPr>
        <w:pBdr/>
        <w:spacing/>
        <w:ind/>
        <w:jc w:val="right"/>
        <w:rPr>
          <w:rFonts w:ascii="Georgia" w:hAnsi="Georgia"/>
        </w:rPr>
      </w:pPr>
      <w:r>
        <w:rPr>
          <w:rFonts w:ascii="Georgia" w:hAnsi="Georgia"/>
        </w:rPr>
      </w:r>
      <w:r>
        <w:rPr>
          <w:rFonts w:ascii="Georgia" w:hAnsi="Georgia"/>
        </w:rPr>
      </w:r>
    </w:p>
    <w:p w14:paraId="307897A1" w14:textId="03DF581E">
      <w:pPr>
        <w:pBdr/>
        <w:spacing/>
        <w:ind/>
        <w:jc w:val="right"/>
        <w:rPr>
          <w:rFonts w:ascii="Georgia" w:hAnsi="Georgia"/>
        </w:rPr>
        <w:sectPr>
          <w:headerReference w:type="default" r:id="rId8"/>
          <w:footerReference w:type="default" r:id="rId9"/>
          <w:footnotePr/>
          <w:endnotePr/>
          <w:type w:val="nextPage"/>
          <w:pgSz w:h="16838" w:orient="portrait" w:w="11906"/>
          <w:pgMar w:top="1418" w:right="1701" w:bottom="1701" w:left="1418" w:header="709" w:footer="709" w:gutter="0"/>
          <w:pgNumType w:start="425"/>
          <w:cols w:num="1" w:sep="0" w:space="708" w:equalWidth="1"/>
        </w:sectPr>
      </w:pPr>
      <w:r>
        <w:rPr>
          <w:rFonts w:ascii="Georgia" w:hAnsi="Georgia"/>
        </w:rPr>
      </w:r>
      <w:r>
        <w:rPr>
          <w:rFonts w:ascii="Georgia" w:hAnsi="Georgia"/>
        </w:rPr>
      </w:r>
    </w:p>
    <w:p w14:paraId="0687A324" w14:textId="77777777">
      <w:pPr>
        <w:pBdr/>
        <w:spacing w:after="120" w:line="240" w:lineRule="auto"/>
        <w:ind/>
        <w:rPr>
          <w:rFonts w:ascii="Georgia" w:hAnsi="Georgia"/>
          <w:b/>
          <w:bCs/>
        </w:rPr>
      </w:pPr>
      <w:r>
        <w:rPr>
          <w:rFonts w:ascii="Georgia" w:hAnsi="Georgia"/>
          <w:b/>
          <w:bCs/>
        </w:rPr>
        <w:t xml:space="preserve">Resumo</w:t>
      </w:r>
      <w:r>
        <w:rPr>
          <w:rFonts w:ascii="Georgia" w:hAnsi="Georgia"/>
          <w:b/>
          <w:bCs/>
        </w:rPr>
      </w:r>
    </w:p>
    <w:p w14:paraId="1C8A3D20" w14:textId="45C87F31">
      <w:pPr>
        <w:pBdr/>
        <w:spacing w:after="120" w:line="240" w:lineRule="auto"/>
        <w:ind/>
        <w:jc w:val="both"/>
        <w:rPr>
          <w:rFonts w:ascii="Georgia" w:hAnsi="Georgia" w:cs="Arial"/>
          <w:sz w:val="20"/>
          <w:szCs w:val="20"/>
        </w:rPr>
      </w:pPr>
      <w:r>
        <w:rPr>
          <w:rFonts w:ascii="Georgia" w:hAnsi="Georgia" w:cs="Arial"/>
          <w:sz w:val="20"/>
          <w:szCs w:val="20"/>
        </w:rPr>
        <w:t xml:space="preserve">O município de Alfenas co</w:t>
      </w:r>
      <w:r>
        <w:rPr>
          <w:rFonts w:ascii="Georgia" w:hAnsi="Georgia" w:cs="Arial"/>
          <w:sz w:val="20"/>
          <w:szCs w:val="20"/>
        </w:rPr>
        <w:t xml:space="preserve">mp</w:t>
      </w:r>
      <w:r>
        <w:rPr>
          <w:rFonts w:ascii="Georgia" w:hAnsi="Georgia" w:cs="Arial"/>
          <w:sz w:val="20"/>
          <w:szCs w:val="20"/>
        </w:rPr>
        <w:t xml:space="preserve">reende</w:t>
      </w:r>
      <w:r>
        <w:rPr>
          <w:rFonts w:ascii="Georgia" w:hAnsi="Georgia" w:cs="Arial"/>
          <w:sz w:val="20"/>
          <w:szCs w:val="20"/>
        </w:rPr>
        <w:t xml:space="preserve"> uma população total de 78.970 habitantes (IBGE, 2024), localiza-se na Região Geográfica Intermediária de Varginha, onde compõe a R</w:t>
      </w:r>
      <w:r>
        <w:rPr>
          <w:rFonts w:ascii="Georgia" w:hAnsi="Georgia" w:cs="Arial"/>
          <w:sz w:val="20"/>
          <w:szCs w:val="20"/>
        </w:rPr>
        <w:t xml:space="preserve">egião Geográfica Imediata de Alfenas, polarizando 12 municípios. A cidade destaca-se como polo de comércio e serviços para as cidades pequenas vizinhas, sendo referência nos setores médico-hospitalar e de ensino superior, o que a consolidou como um centro </w:t>
      </w:r>
      <w:r>
        <w:rPr>
          <w:rFonts w:ascii="Georgia" w:hAnsi="Georgia" w:cs="Arial"/>
          <w:sz w:val="20"/>
          <w:szCs w:val="20"/>
        </w:rPr>
        <w:t xml:space="preserve">subregional</w:t>
      </w:r>
      <w:r>
        <w:rPr>
          <w:rFonts w:ascii="Georgia" w:hAnsi="Georgia" w:cs="Arial"/>
          <w:sz w:val="20"/>
          <w:szCs w:val="20"/>
        </w:rPr>
        <w:t xml:space="preserve"> no sul de Minas Gerais. Os objetivos principais desta pesquisa são compreender como se formou a rede urbana no Sul de Minas, com enfoque na Região Imediata de Alfenas, como se transformou e quais padrões espaciais adquiriu, esp</w:t>
      </w:r>
      <w:r>
        <w:rPr>
          <w:rFonts w:ascii="Georgia" w:hAnsi="Georgia" w:cs="Arial"/>
          <w:sz w:val="20"/>
          <w:szCs w:val="20"/>
        </w:rPr>
        <w:t xml:space="preserve">ecialmente a partir de meados do século XX, quando os processos de industrialização e urbanização avançaram no país. Considera-se também a articulação das escalas regional e intraurbana no caso de Alfenas e sua região imediata. Os procedimentos metodológic</w:t>
      </w:r>
      <w:r>
        <w:rPr>
          <w:rFonts w:ascii="Georgia" w:hAnsi="Georgia" w:cs="Arial"/>
          <w:sz w:val="20"/>
          <w:szCs w:val="20"/>
        </w:rPr>
        <w:t xml:space="preserve">os são apoiados em pesquisa bibliográfica de livros, artigos e teses referentes mais diretamente aos temas de geografia urbana envolvendo as cidades de Alfenas e da rede urbana no sul de Minas Gerais; pesquisa de dados estatísticos em órgãos institucionais</w:t>
      </w:r>
      <w:r>
        <w:rPr>
          <w:rFonts w:ascii="Georgia" w:hAnsi="Georgia" w:cs="Arial"/>
          <w:sz w:val="20"/>
          <w:szCs w:val="20"/>
        </w:rPr>
        <w:t xml:space="preserve"> e</w:t>
      </w:r>
      <w:r>
        <w:rPr>
          <w:rFonts w:ascii="Georgia" w:hAnsi="Georgia" w:cs="Arial"/>
          <w:sz w:val="20"/>
          <w:szCs w:val="20"/>
        </w:rPr>
        <w:t xml:space="preserve"> levantamento cartográfico</w:t>
      </w:r>
      <w:r>
        <w:rPr>
          <w:rFonts w:ascii="Georgia" w:hAnsi="Georgia" w:cs="Arial"/>
          <w:sz w:val="20"/>
          <w:szCs w:val="20"/>
        </w:rPr>
        <w:t xml:space="preserve">.</w:t>
      </w:r>
      <w:r>
        <w:rPr>
          <w:rFonts w:ascii="Georgia" w:hAnsi="Georgia" w:cs="Arial"/>
          <w:sz w:val="20"/>
          <w:szCs w:val="20"/>
        </w:rPr>
      </w:r>
    </w:p>
    <w:p w14:paraId="7E57AC12" w14:textId="77777777">
      <w:pPr>
        <w:pBdr/>
        <w:spacing w:after="120" w:line="240" w:lineRule="auto"/>
        <w:ind/>
        <w:jc w:val="both"/>
        <w:rPr>
          <w:rFonts w:ascii="Georgia" w:hAnsi="Georgia"/>
          <w:sz w:val="20"/>
          <w:szCs w:val="20"/>
        </w:rPr>
      </w:pPr>
      <w:r>
        <w:rPr>
          <w:rFonts w:ascii="Georgia" w:hAnsi="Georgia" w:cs="Arial"/>
          <w:b/>
          <w:bCs/>
          <w:sz w:val="20"/>
          <w:szCs w:val="20"/>
        </w:rPr>
        <w:t xml:space="preserve">Palavras-chave</w:t>
      </w:r>
      <w:r>
        <w:rPr>
          <w:rFonts w:ascii="Georgia" w:hAnsi="Georgia" w:cs="Arial"/>
          <w:sz w:val="20"/>
          <w:szCs w:val="20"/>
        </w:rPr>
        <w:t xml:space="preserve">: Região imediata, Rede urbana, Polarização espacial, Centralidade.</w:t>
      </w:r>
      <w:r>
        <w:rPr>
          <w:rFonts w:ascii="Georgia" w:hAnsi="Georgia"/>
          <w:sz w:val="20"/>
          <w:szCs w:val="20"/>
        </w:rPr>
      </w:r>
    </w:p>
    <w:p w14:paraId="04711844" w14:textId="77777777">
      <w:pPr>
        <w:pBdr/>
        <w:spacing w:after="120" w:line="240" w:lineRule="auto"/>
        <w:ind/>
        <w:jc w:val="both"/>
        <w:rPr>
          <w:rFonts w:ascii="Georgia" w:hAnsi="Georgia"/>
          <w:b/>
          <w:bCs/>
          <w:sz w:val="20"/>
          <w:szCs w:val="20"/>
        </w:rPr>
      </w:pPr>
      <w:r>
        <w:rPr>
          <w:rFonts w:ascii="Georgia" w:hAnsi="Georgia"/>
          <w:b/>
          <w:bCs/>
          <w:sz w:val="20"/>
          <w:szCs w:val="20"/>
        </w:rPr>
      </w:r>
      <w:r>
        <w:rPr>
          <w:rFonts w:ascii="Georgia" w:hAnsi="Georgia"/>
          <w:b/>
          <w:bCs/>
          <w:sz w:val="20"/>
          <w:szCs w:val="20"/>
        </w:rPr>
      </w:r>
    </w:p>
    <w:p w14:paraId="3D754EBA" w14:textId="01EBCF9D">
      <w:pPr>
        <w:pBdr/>
        <w:spacing w:after="120" w:line="240" w:lineRule="auto"/>
        <w:ind/>
        <w:jc w:val="both"/>
        <w:rPr>
          <w:rFonts w:ascii="Georgia" w:hAnsi="Georgia" w:cs="Arial"/>
          <w:b/>
        </w:rPr>
      </w:pPr>
      <w:r>
        <w:rPr>
          <w:rFonts w:ascii="Georgia" w:hAnsi="Georgia"/>
          <w:sz w:val="20"/>
          <w:szCs w:val="20"/>
        </w:rPr>
        <w:br w:type="column"/>
      </w:r>
      <w:r>
        <w:rPr>
          <w:rFonts w:ascii="Georgia" w:hAnsi="Georgia" w:cs="Arial"/>
          <w:b/>
        </w:rPr>
        <w:t xml:space="preserve">Abstract</w:t>
      </w:r>
      <w:r>
        <w:rPr>
          <w:rFonts w:ascii="Georgia" w:hAnsi="Georgia" w:cs="Arial"/>
          <w:b/>
        </w:rPr>
      </w:r>
    </w:p>
    <w:p w14:paraId="585A025F" w14:textId="37C44967">
      <w:pPr>
        <w:pBdr/>
        <w:spacing w:after="120" w:line="240" w:lineRule="auto"/>
        <w:ind/>
        <w:jc w:val="both"/>
        <w:rPr>
          <w:rFonts w:ascii="Georgia" w:hAnsi="Georgia" w:cs="Arial"/>
          <w:b/>
          <w:sz w:val="20"/>
          <w:szCs w:val="20"/>
        </w:rPr>
      </w:pPr>
      <w:r>
        <w:rPr>
          <w:rFonts w:ascii="Georgia" w:hAnsi="Georgia" w:cs="Arial"/>
          <w:bCs/>
          <w:sz w:val="20"/>
          <w:szCs w:val="20"/>
        </w:rPr>
        <w:t xml:space="preserve">The </w:t>
      </w:r>
      <w:r>
        <w:rPr>
          <w:rFonts w:ascii="Georgia" w:hAnsi="Georgia" w:cs="Arial"/>
          <w:bCs/>
          <w:sz w:val="20"/>
          <w:szCs w:val="20"/>
        </w:rPr>
        <w:t xml:space="preserve">municipality</w:t>
      </w:r>
      <w:r>
        <w:rPr>
          <w:rFonts w:ascii="Georgia" w:hAnsi="Georgia" w:cs="Arial"/>
          <w:bCs/>
          <w:sz w:val="20"/>
          <w:szCs w:val="20"/>
        </w:rPr>
        <w:t xml:space="preserve"> </w:t>
      </w:r>
      <w:r>
        <w:rPr>
          <w:rFonts w:ascii="Georgia" w:hAnsi="Georgia" w:cs="Arial"/>
          <w:bCs/>
          <w:sz w:val="20"/>
          <w:szCs w:val="20"/>
        </w:rPr>
        <w:t xml:space="preserve">of</w:t>
      </w:r>
      <w:r>
        <w:rPr>
          <w:rFonts w:ascii="Georgia" w:hAnsi="Georgia" w:cs="Arial"/>
          <w:bCs/>
          <w:sz w:val="20"/>
          <w:szCs w:val="20"/>
        </w:rPr>
        <w:t xml:space="preserve"> Alfenas </w:t>
      </w:r>
      <w:r>
        <w:rPr>
          <w:rFonts w:ascii="Georgia" w:hAnsi="Georgia" w:cs="Arial"/>
          <w:bCs/>
          <w:sz w:val="20"/>
          <w:szCs w:val="20"/>
        </w:rPr>
        <w:t xml:space="preserve">has</w:t>
      </w:r>
      <w:r>
        <w:rPr>
          <w:rFonts w:ascii="Georgia" w:hAnsi="Georgia" w:cs="Arial"/>
          <w:bCs/>
          <w:sz w:val="20"/>
          <w:szCs w:val="20"/>
        </w:rPr>
        <w:t xml:space="preserve"> a total </w:t>
      </w:r>
      <w:r>
        <w:rPr>
          <w:rFonts w:ascii="Georgia" w:hAnsi="Georgia" w:cs="Arial"/>
          <w:bCs/>
          <w:sz w:val="20"/>
          <w:szCs w:val="20"/>
        </w:rPr>
        <w:t xml:space="preserve">population</w:t>
      </w:r>
      <w:r>
        <w:rPr>
          <w:rFonts w:ascii="Georgia" w:hAnsi="Georgia" w:cs="Arial"/>
          <w:bCs/>
          <w:sz w:val="20"/>
          <w:szCs w:val="20"/>
        </w:rPr>
        <w:t xml:space="preserve"> </w:t>
      </w:r>
      <w:r>
        <w:rPr>
          <w:rFonts w:ascii="Georgia" w:hAnsi="Georgia" w:cs="Arial"/>
          <w:bCs/>
          <w:sz w:val="20"/>
          <w:szCs w:val="20"/>
        </w:rPr>
        <w:t xml:space="preserve">of</w:t>
      </w:r>
      <w:r>
        <w:rPr>
          <w:rFonts w:ascii="Georgia" w:hAnsi="Georgia" w:cs="Arial"/>
          <w:bCs/>
          <w:sz w:val="20"/>
          <w:szCs w:val="20"/>
        </w:rPr>
        <w:t xml:space="preserve"> 78,970 </w:t>
      </w:r>
      <w:r>
        <w:rPr>
          <w:rFonts w:ascii="Georgia" w:hAnsi="Georgia" w:cs="Arial"/>
          <w:bCs/>
          <w:sz w:val="20"/>
          <w:szCs w:val="20"/>
        </w:rPr>
        <w:t xml:space="preserve">inhabitants</w:t>
      </w:r>
      <w:r>
        <w:rPr>
          <w:rFonts w:ascii="Georgia" w:hAnsi="Georgia" w:cs="Arial"/>
          <w:bCs/>
          <w:sz w:val="20"/>
          <w:szCs w:val="20"/>
        </w:rPr>
        <w:t xml:space="preserve"> (IBGE, 2024). It </w:t>
      </w:r>
      <w:r>
        <w:rPr>
          <w:rFonts w:ascii="Georgia" w:hAnsi="Georgia" w:cs="Arial"/>
          <w:bCs/>
          <w:sz w:val="20"/>
          <w:szCs w:val="20"/>
        </w:rPr>
        <w:t xml:space="preserve">is</w:t>
      </w:r>
      <w:r>
        <w:rPr>
          <w:rFonts w:ascii="Georgia" w:hAnsi="Georgia" w:cs="Arial"/>
          <w:bCs/>
          <w:sz w:val="20"/>
          <w:szCs w:val="20"/>
        </w:rPr>
        <w:t xml:space="preserve"> </w:t>
      </w:r>
      <w:r>
        <w:rPr>
          <w:rFonts w:ascii="Georgia" w:hAnsi="Georgia" w:cs="Arial"/>
          <w:bCs/>
          <w:sz w:val="20"/>
          <w:szCs w:val="20"/>
        </w:rPr>
        <w:t xml:space="preserve">located</w:t>
      </w:r>
      <w:r>
        <w:rPr>
          <w:rFonts w:ascii="Georgia" w:hAnsi="Georgia" w:cs="Arial"/>
          <w:bCs/>
          <w:sz w:val="20"/>
          <w:szCs w:val="20"/>
        </w:rPr>
        <w:t xml:space="preserve"> in </w:t>
      </w:r>
      <w:r>
        <w:rPr>
          <w:rFonts w:ascii="Georgia" w:hAnsi="Georgia" w:cs="Arial"/>
          <w:bCs/>
          <w:sz w:val="20"/>
          <w:szCs w:val="20"/>
        </w:rPr>
        <w:t xml:space="preserve">the</w:t>
      </w:r>
      <w:r>
        <w:rPr>
          <w:rFonts w:ascii="Georgia" w:hAnsi="Georgia" w:cs="Arial"/>
          <w:bCs/>
          <w:sz w:val="20"/>
          <w:szCs w:val="20"/>
        </w:rPr>
        <w:t xml:space="preserve"> </w:t>
      </w:r>
      <w:r>
        <w:rPr>
          <w:rFonts w:ascii="Georgia" w:hAnsi="Georgia" w:cs="Arial"/>
          <w:bCs/>
          <w:sz w:val="20"/>
          <w:szCs w:val="20"/>
        </w:rPr>
        <w:t xml:space="preserve">Intermediate</w:t>
      </w:r>
      <w:r>
        <w:rPr>
          <w:rFonts w:ascii="Georgia" w:hAnsi="Georgia" w:cs="Arial"/>
          <w:bCs/>
          <w:sz w:val="20"/>
          <w:szCs w:val="20"/>
        </w:rPr>
        <w:t xml:space="preserve"> </w:t>
      </w:r>
      <w:r>
        <w:rPr>
          <w:rFonts w:ascii="Georgia" w:hAnsi="Georgia" w:cs="Arial"/>
          <w:bCs/>
          <w:sz w:val="20"/>
          <w:szCs w:val="20"/>
        </w:rPr>
        <w:t xml:space="preserve">Geographic</w:t>
      </w:r>
      <w:r>
        <w:rPr>
          <w:rFonts w:ascii="Georgia" w:hAnsi="Georgia" w:cs="Arial"/>
          <w:bCs/>
          <w:sz w:val="20"/>
          <w:szCs w:val="20"/>
        </w:rPr>
        <w:t xml:space="preserve"> </w:t>
      </w:r>
      <w:r>
        <w:rPr>
          <w:rFonts w:ascii="Georgia" w:hAnsi="Georgia" w:cs="Arial"/>
          <w:bCs/>
          <w:sz w:val="20"/>
          <w:szCs w:val="20"/>
        </w:rPr>
        <w:t xml:space="preserve">Region</w:t>
      </w:r>
      <w:r>
        <w:rPr>
          <w:rFonts w:ascii="Georgia" w:hAnsi="Georgia" w:cs="Arial"/>
          <w:bCs/>
          <w:sz w:val="20"/>
          <w:szCs w:val="20"/>
        </w:rPr>
        <w:t xml:space="preserve"> </w:t>
      </w:r>
      <w:r>
        <w:rPr>
          <w:rFonts w:ascii="Georgia" w:hAnsi="Georgia" w:cs="Arial"/>
          <w:bCs/>
          <w:sz w:val="20"/>
          <w:szCs w:val="20"/>
        </w:rPr>
        <w:t xml:space="preserve">of</w:t>
      </w:r>
      <w:r>
        <w:rPr>
          <w:rFonts w:ascii="Georgia" w:hAnsi="Georgia" w:cs="Arial"/>
          <w:bCs/>
          <w:sz w:val="20"/>
          <w:szCs w:val="20"/>
        </w:rPr>
        <w:t xml:space="preserve"> Varginha, </w:t>
      </w:r>
      <w:r>
        <w:rPr>
          <w:rFonts w:ascii="Georgia" w:hAnsi="Georgia" w:cs="Arial"/>
          <w:bCs/>
          <w:sz w:val="20"/>
          <w:szCs w:val="20"/>
        </w:rPr>
        <w:t xml:space="preserve">where</w:t>
      </w:r>
      <w:r>
        <w:rPr>
          <w:rFonts w:ascii="Georgia" w:hAnsi="Georgia" w:cs="Arial"/>
          <w:bCs/>
          <w:sz w:val="20"/>
          <w:szCs w:val="20"/>
        </w:rPr>
        <w:t xml:space="preserve"> it </w:t>
      </w:r>
      <w:r>
        <w:rPr>
          <w:rFonts w:ascii="Georgia" w:hAnsi="Georgia" w:cs="Arial"/>
          <w:bCs/>
          <w:sz w:val="20"/>
          <w:szCs w:val="20"/>
        </w:rPr>
        <w:t xml:space="preserve">forms</w:t>
      </w:r>
      <w:r>
        <w:rPr>
          <w:rFonts w:ascii="Georgia" w:hAnsi="Georgia" w:cs="Arial"/>
          <w:bCs/>
          <w:sz w:val="20"/>
          <w:szCs w:val="20"/>
        </w:rPr>
        <w:t xml:space="preserve"> </w:t>
      </w:r>
      <w:r>
        <w:rPr>
          <w:rFonts w:ascii="Georgia" w:hAnsi="Georgia" w:cs="Arial"/>
          <w:bCs/>
          <w:sz w:val="20"/>
          <w:szCs w:val="20"/>
        </w:rPr>
        <w:t xml:space="preserve">part</w:t>
      </w:r>
      <w:r>
        <w:rPr>
          <w:rFonts w:ascii="Georgia" w:hAnsi="Georgia" w:cs="Arial"/>
          <w:bCs/>
          <w:sz w:val="20"/>
          <w:szCs w:val="20"/>
        </w:rPr>
        <w:t xml:space="preserve"> </w:t>
      </w:r>
      <w:r>
        <w:rPr>
          <w:rFonts w:ascii="Georgia" w:hAnsi="Georgia" w:cs="Arial"/>
          <w:bCs/>
          <w:sz w:val="20"/>
          <w:szCs w:val="20"/>
        </w:rPr>
        <w:t xml:space="preserve">of</w:t>
      </w:r>
      <w:r>
        <w:rPr>
          <w:rFonts w:ascii="Georgia" w:hAnsi="Georgia" w:cs="Arial"/>
          <w:bCs/>
          <w:sz w:val="20"/>
          <w:szCs w:val="20"/>
        </w:rPr>
        <w:t xml:space="preserve"> </w:t>
      </w:r>
      <w:r>
        <w:rPr>
          <w:rFonts w:ascii="Georgia" w:hAnsi="Georgia" w:cs="Arial"/>
          <w:bCs/>
          <w:sz w:val="20"/>
          <w:szCs w:val="20"/>
        </w:rPr>
        <w:t xml:space="preserve">the</w:t>
      </w:r>
      <w:r>
        <w:rPr>
          <w:rFonts w:ascii="Georgia" w:hAnsi="Georgia" w:cs="Arial"/>
          <w:bCs/>
          <w:sz w:val="20"/>
          <w:szCs w:val="20"/>
        </w:rPr>
        <w:t xml:space="preserve"> </w:t>
      </w:r>
      <w:r>
        <w:rPr>
          <w:rFonts w:ascii="Georgia" w:hAnsi="Georgia" w:cs="Arial"/>
          <w:bCs/>
          <w:sz w:val="20"/>
          <w:szCs w:val="20"/>
        </w:rPr>
        <w:t xml:space="preserve">Immediate</w:t>
      </w:r>
      <w:r>
        <w:rPr>
          <w:rFonts w:ascii="Georgia" w:hAnsi="Georgia" w:cs="Arial"/>
          <w:bCs/>
          <w:sz w:val="20"/>
          <w:szCs w:val="20"/>
        </w:rPr>
        <w:t xml:space="preserve"> </w:t>
      </w:r>
      <w:r>
        <w:rPr>
          <w:rFonts w:ascii="Georgia" w:hAnsi="Georgia" w:cs="Arial"/>
          <w:bCs/>
          <w:sz w:val="20"/>
          <w:szCs w:val="20"/>
        </w:rPr>
        <w:t xml:space="preserve">Geographic</w:t>
      </w:r>
      <w:r>
        <w:rPr>
          <w:rFonts w:ascii="Georgia" w:hAnsi="Georgia" w:cs="Arial"/>
          <w:bCs/>
          <w:sz w:val="20"/>
          <w:szCs w:val="20"/>
        </w:rPr>
        <w:t xml:space="preserve"> </w:t>
      </w:r>
      <w:r>
        <w:rPr>
          <w:rFonts w:ascii="Georgia" w:hAnsi="Georgia" w:cs="Arial"/>
          <w:bCs/>
          <w:sz w:val="20"/>
          <w:szCs w:val="20"/>
        </w:rPr>
        <w:t xml:space="preserve">Region</w:t>
      </w:r>
      <w:r>
        <w:rPr>
          <w:rFonts w:ascii="Georgia" w:hAnsi="Georgia" w:cs="Arial"/>
          <w:bCs/>
          <w:sz w:val="20"/>
          <w:szCs w:val="20"/>
        </w:rPr>
        <w:t xml:space="preserve"> </w:t>
      </w:r>
      <w:r>
        <w:rPr>
          <w:rFonts w:ascii="Georgia" w:hAnsi="Georgia" w:cs="Arial"/>
          <w:bCs/>
          <w:sz w:val="20"/>
          <w:szCs w:val="20"/>
        </w:rPr>
        <w:t xml:space="preserve">of</w:t>
      </w:r>
      <w:r>
        <w:rPr>
          <w:rFonts w:ascii="Georgia" w:hAnsi="Georgia" w:cs="Arial"/>
          <w:bCs/>
          <w:sz w:val="20"/>
          <w:szCs w:val="20"/>
        </w:rPr>
        <w:t xml:space="preserve"> Alfenas, </w:t>
      </w:r>
      <w:r>
        <w:rPr>
          <w:rFonts w:ascii="Georgia" w:hAnsi="Georgia" w:cs="Arial"/>
          <w:bCs/>
          <w:sz w:val="20"/>
          <w:szCs w:val="20"/>
        </w:rPr>
        <w:t xml:space="preserve">serving</w:t>
      </w:r>
      <w:r>
        <w:rPr>
          <w:rFonts w:ascii="Georgia" w:hAnsi="Georgia" w:cs="Arial"/>
          <w:bCs/>
          <w:sz w:val="20"/>
          <w:szCs w:val="20"/>
        </w:rPr>
        <w:t xml:space="preserve"> as a hub for 12 </w:t>
      </w:r>
      <w:r>
        <w:rPr>
          <w:rFonts w:ascii="Georgia" w:hAnsi="Georgia" w:cs="Arial"/>
          <w:bCs/>
          <w:sz w:val="20"/>
          <w:szCs w:val="20"/>
        </w:rPr>
        <w:t xml:space="preserve">municipalities</w:t>
      </w:r>
      <w:r>
        <w:rPr>
          <w:rFonts w:ascii="Georgia" w:hAnsi="Georgia" w:cs="Arial"/>
          <w:bCs/>
          <w:sz w:val="20"/>
          <w:szCs w:val="20"/>
        </w:rPr>
        <w:t xml:space="preserve">. The </w:t>
      </w:r>
      <w:r>
        <w:rPr>
          <w:rFonts w:ascii="Georgia" w:hAnsi="Georgia" w:cs="Arial"/>
          <w:bCs/>
          <w:sz w:val="20"/>
          <w:szCs w:val="20"/>
        </w:rPr>
        <w:t xml:space="preserve">city</w:t>
      </w:r>
      <w:r>
        <w:rPr>
          <w:rFonts w:ascii="Georgia" w:hAnsi="Georgia" w:cs="Arial"/>
          <w:bCs/>
          <w:sz w:val="20"/>
          <w:szCs w:val="20"/>
        </w:rPr>
        <w:t xml:space="preserve"> stands out as a </w:t>
      </w:r>
      <w:r>
        <w:rPr>
          <w:rFonts w:ascii="Georgia" w:hAnsi="Georgia" w:cs="Arial"/>
          <w:bCs/>
          <w:sz w:val="20"/>
          <w:szCs w:val="20"/>
        </w:rPr>
        <w:t xml:space="preserve">commercial</w:t>
      </w:r>
      <w:r>
        <w:rPr>
          <w:rFonts w:ascii="Georgia" w:hAnsi="Georgia" w:cs="Arial"/>
          <w:bCs/>
          <w:sz w:val="20"/>
          <w:szCs w:val="20"/>
        </w:rPr>
        <w:t xml:space="preserve"> </w:t>
      </w:r>
      <w:r>
        <w:rPr>
          <w:rFonts w:ascii="Georgia" w:hAnsi="Georgia" w:cs="Arial"/>
          <w:bCs/>
          <w:sz w:val="20"/>
          <w:szCs w:val="20"/>
        </w:rPr>
        <w:t xml:space="preserve">and</w:t>
      </w:r>
      <w:r>
        <w:rPr>
          <w:rFonts w:ascii="Georgia" w:hAnsi="Georgia" w:cs="Arial"/>
          <w:bCs/>
          <w:sz w:val="20"/>
          <w:szCs w:val="20"/>
        </w:rPr>
        <w:t xml:space="preserve"> </w:t>
      </w:r>
      <w:r>
        <w:rPr>
          <w:rFonts w:ascii="Georgia" w:hAnsi="Georgia" w:cs="Arial"/>
          <w:bCs/>
          <w:sz w:val="20"/>
          <w:szCs w:val="20"/>
        </w:rPr>
        <w:t xml:space="preserve">service</w:t>
      </w:r>
      <w:r>
        <w:rPr>
          <w:rFonts w:ascii="Georgia" w:hAnsi="Georgia" w:cs="Arial"/>
          <w:bCs/>
          <w:sz w:val="20"/>
          <w:szCs w:val="20"/>
        </w:rPr>
        <w:t xml:space="preserve"> center for </w:t>
      </w:r>
      <w:r>
        <w:rPr>
          <w:rFonts w:ascii="Georgia" w:hAnsi="Georgia" w:cs="Arial"/>
          <w:bCs/>
          <w:sz w:val="20"/>
          <w:szCs w:val="20"/>
        </w:rPr>
        <w:t xml:space="preserve">neighboring</w:t>
      </w:r>
      <w:r>
        <w:rPr>
          <w:rFonts w:ascii="Georgia" w:hAnsi="Georgia" w:cs="Arial"/>
          <w:bCs/>
          <w:sz w:val="20"/>
          <w:szCs w:val="20"/>
        </w:rPr>
        <w:t xml:space="preserve"> </w:t>
      </w:r>
      <w:r>
        <w:rPr>
          <w:rFonts w:ascii="Georgia" w:hAnsi="Georgia" w:cs="Arial"/>
          <w:bCs/>
          <w:sz w:val="20"/>
          <w:szCs w:val="20"/>
        </w:rPr>
        <w:t xml:space="preserve">small</w:t>
      </w:r>
      <w:r>
        <w:rPr>
          <w:rFonts w:ascii="Georgia" w:hAnsi="Georgia" w:cs="Arial"/>
          <w:bCs/>
          <w:sz w:val="20"/>
          <w:szCs w:val="20"/>
        </w:rPr>
        <w:t xml:space="preserve"> </w:t>
      </w:r>
      <w:r>
        <w:rPr>
          <w:rFonts w:ascii="Georgia" w:hAnsi="Georgia" w:cs="Arial"/>
          <w:bCs/>
          <w:sz w:val="20"/>
          <w:szCs w:val="20"/>
        </w:rPr>
        <w:t xml:space="preserve">towns</w:t>
      </w:r>
      <w:r>
        <w:rPr>
          <w:rFonts w:ascii="Georgia" w:hAnsi="Georgia" w:cs="Arial"/>
          <w:bCs/>
          <w:sz w:val="20"/>
          <w:szCs w:val="20"/>
        </w:rPr>
        <w:t xml:space="preserve">, </w:t>
      </w:r>
      <w:r>
        <w:rPr>
          <w:rFonts w:ascii="Georgia" w:hAnsi="Georgia" w:cs="Arial"/>
          <w:bCs/>
          <w:sz w:val="20"/>
          <w:szCs w:val="20"/>
        </w:rPr>
        <w:t xml:space="preserve">particularly</w:t>
      </w:r>
      <w:r>
        <w:rPr>
          <w:rFonts w:ascii="Georgia" w:hAnsi="Georgia" w:cs="Arial"/>
          <w:bCs/>
          <w:sz w:val="20"/>
          <w:szCs w:val="20"/>
        </w:rPr>
        <w:t xml:space="preserve"> as a regional </w:t>
      </w:r>
      <w:r>
        <w:rPr>
          <w:rFonts w:ascii="Georgia" w:hAnsi="Georgia" w:cs="Arial"/>
          <w:bCs/>
          <w:sz w:val="20"/>
          <w:szCs w:val="20"/>
        </w:rPr>
        <w:t xml:space="preserve">reference</w:t>
      </w:r>
      <w:r>
        <w:rPr>
          <w:rFonts w:ascii="Georgia" w:hAnsi="Georgia" w:cs="Arial"/>
          <w:bCs/>
          <w:sz w:val="20"/>
          <w:szCs w:val="20"/>
        </w:rPr>
        <w:t xml:space="preserve"> in </w:t>
      </w:r>
      <w:r>
        <w:rPr>
          <w:rFonts w:ascii="Georgia" w:hAnsi="Georgia" w:cs="Arial"/>
          <w:bCs/>
          <w:sz w:val="20"/>
          <w:szCs w:val="20"/>
        </w:rPr>
        <w:t xml:space="preserve">the</w:t>
      </w:r>
      <w:r>
        <w:rPr>
          <w:rFonts w:ascii="Georgia" w:hAnsi="Georgia" w:cs="Arial"/>
          <w:bCs/>
          <w:sz w:val="20"/>
          <w:szCs w:val="20"/>
        </w:rPr>
        <w:t xml:space="preserve"> medical-hospital </w:t>
      </w:r>
      <w:r>
        <w:rPr>
          <w:rFonts w:ascii="Georgia" w:hAnsi="Georgia" w:cs="Arial"/>
          <w:bCs/>
          <w:sz w:val="20"/>
          <w:szCs w:val="20"/>
        </w:rPr>
        <w:t xml:space="preserve">and</w:t>
      </w:r>
      <w:r>
        <w:rPr>
          <w:rFonts w:ascii="Georgia" w:hAnsi="Georgia" w:cs="Arial"/>
          <w:bCs/>
          <w:sz w:val="20"/>
          <w:szCs w:val="20"/>
        </w:rPr>
        <w:t xml:space="preserve"> </w:t>
      </w:r>
      <w:r>
        <w:rPr>
          <w:rFonts w:ascii="Georgia" w:hAnsi="Georgia" w:cs="Arial"/>
          <w:bCs/>
          <w:sz w:val="20"/>
          <w:szCs w:val="20"/>
        </w:rPr>
        <w:t xml:space="preserve">higher</w:t>
      </w:r>
      <w:r>
        <w:rPr>
          <w:rFonts w:ascii="Georgia" w:hAnsi="Georgia" w:cs="Arial"/>
          <w:bCs/>
          <w:sz w:val="20"/>
          <w:szCs w:val="20"/>
        </w:rPr>
        <w:t xml:space="preserve"> </w:t>
      </w:r>
      <w:r>
        <w:rPr>
          <w:rFonts w:ascii="Georgia" w:hAnsi="Georgia" w:cs="Arial"/>
          <w:bCs/>
          <w:sz w:val="20"/>
          <w:szCs w:val="20"/>
        </w:rPr>
        <w:t xml:space="preserve">education</w:t>
      </w:r>
      <w:r>
        <w:rPr>
          <w:rFonts w:ascii="Georgia" w:hAnsi="Georgia" w:cs="Arial"/>
          <w:bCs/>
          <w:sz w:val="20"/>
          <w:szCs w:val="20"/>
        </w:rPr>
        <w:t xml:space="preserve"> </w:t>
      </w:r>
      <w:r>
        <w:rPr>
          <w:rFonts w:ascii="Georgia" w:hAnsi="Georgia" w:cs="Arial"/>
          <w:bCs/>
          <w:sz w:val="20"/>
          <w:szCs w:val="20"/>
        </w:rPr>
        <w:t xml:space="preserve">sectors</w:t>
      </w:r>
      <w:r>
        <w:rPr>
          <w:rFonts w:ascii="Georgia" w:hAnsi="Georgia" w:cs="Arial"/>
          <w:bCs/>
          <w:sz w:val="20"/>
          <w:szCs w:val="20"/>
        </w:rPr>
        <w:t xml:space="preserve">, </w:t>
      </w:r>
      <w:r>
        <w:rPr>
          <w:rFonts w:ascii="Georgia" w:hAnsi="Georgia" w:cs="Arial"/>
          <w:bCs/>
          <w:sz w:val="20"/>
          <w:szCs w:val="20"/>
        </w:rPr>
        <w:t xml:space="preserve">which</w:t>
      </w:r>
      <w:r>
        <w:rPr>
          <w:rFonts w:ascii="Georgia" w:hAnsi="Georgia" w:cs="Arial"/>
          <w:bCs/>
          <w:sz w:val="20"/>
          <w:szCs w:val="20"/>
        </w:rPr>
        <w:t xml:space="preserve"> </w:t>
      </w:r>
      <w:r>
        <w:rPr>
          <w:rFonts w:ascii="Georgia" w:hAnsi="Georgia" w:cs="Arial"/>
          <w:bCs/>
          <w:sz w:val="20"/>
          <w:szCs w:val="20"/>
        </w:rPr>
        <w:t xml:space="preserve">has</w:t>
      </w:r>
      <w:r>
        <w:rPr>
          <w:rFonts w:ascii="Georgia" w:hAnsi="Georgia" w:cs="Arial"/>
          <w:bCs/>
          <w:sz w:val="20"/>
          <w:szCs w:val="20"/>
        </w:rPr>
        <w:t xml:space="preserve"> </w:t>
      </w:r>
      <w:r>
        <w:rPr>
          <w:rFonts w:ascii="Georgia" w:hAnsi="Georgia" w:cs="Arial"/>
          <w:bCs/>
          <w:sz w:val="20"/>
          <w:szCs w:val="20"/>
        </w:rPr>
        <w:t xml:space="preserve">consolidated</w:t>
      </w:r>
      <w:r>
        <w:rPr>
          <w:rFonts w:ascii="Georgia" w:hAnsi="Georgia" w:cs="Arial"/>
          <w:bCs/>
          <w:sz w:val="20"/>
          <w:szCs w:val="20"/>
        </w:rPr>
        <w:t xml:space="preserve"> its position as a </w:t>
      </w:r>
      <w:r>
        <w:rPr>
          <w:rFonts w:ascii="Georgia" w:hAnsi="Georgia" w:cs="Arial"/>
          <w:bCs/>
          <w:sz w:val="20"/>
          <w:szCs w:val="20"/>
        </w:rPr>
        <w:t xml:space="preserve">subregional</w:t>
      </w:r>
      <w:r>
        <w:rPr>
          <w:rFonts w:ascii="Georgia" w:hAnsi="Georgia" w:cs="Arial"/>
          <w:bCs/>
          <w:sz w:val="20"/>
          <w:szCs w:val="20"/>
        </w:rPr>
        <w:t xml:space="preserve"> center in </w:t>
      </w:r>
      <w:r>
        <w:rPr>
          <w:rFonts w:ascii="Georgia" w:hAnsi="Georgia" w:cs="Arial"/>
          <w:bCs/>
          <w:sz w:val="20"/>
          <w:szCs w:val="20"/>
        </w:rPr>
        <w:t xml:space="preserve">southern</w:t>
      </w:r>
      <w:r>
        <w:rPr>
          <w:rFonts w:ascii="Georgia" w:hAnsi="Georgia" w:cs="Arial"/>
          <w:bCs/>
          <w:sz w:val="20"/>
          <w:szCs w:val="20"/>
        </w:rPr>
        <w:t xml:space="preserve"> Minas Gerais. The </w:t>
      </w:r>
      <w:r>
        <w:rPr>
          <w:rFonts w:ascii="Georgia" w:hAnsi="Georgia" w:cs="Arial"/>
          <w:bCs/>
          <w:sz w:val="20"/>
          <w:szCs w:val="20"/>
        </w:rPr>
        <w:t xml:space="preserve">main</w:t>
      </w:r>
      <w:r>
        <w:rPr>
          <w:rFonts w:ascii="Georgia" w:hAnsi="Georgia" w:cs="Arial"/>
          <w:bCs/>
          <w:sz w:val="20"/>
          <w:szCs w:val="20"/>
        </w:rPr>
        <w:t xml:space="preserve"> </w:t>
      </w:r>
      <w:r>
        <w:rPr>
          <w:rFonts w:ascii="Georgia" w:hAnsi="Georgia" w:cs="Arial"/>
          <w:bCs/>
          <w:sz w:val="20"/>
          <w:szCs w:val="20"/>
        </w:rPr>
        <w:t xml:space="preserve">objectives</w:t>
      </w:r>
      <w:r>
        <w:rPr>
          <w:rFonts w:ascii="Georgia" w:hAnsi="Georgia" w:cs="Arial"/>
          <w:bCs/>
          <w:sz w:val="20"/>
          <w:szCs w:val="20"/>
        </w:rPr>
        <w:t xml:space="preserve"> </w:t>
      </w:r>
      <w:r>
        <w:rPr>
          <w:rFonts w:ascii="Georgia" w:hAnsi="Georgia" w:cs="Arial"/>
          <w:bCs/>
          <w:sz w:val="20"/>
          <w:szCs w:val="20"/>
        </w:rPr>
        <w:t xml:space="preserve">of</w:t>
      </w:r>
      <w:r>
        <w:rPr>
          <w:rFonts w:ascii="Georgia" w:hAnsi="Georgia" w:cs="Arial"/>
          <w:bCs/>
          <w:sz w:val="20"/>
          <w:szCs w:val="20"/>
        </w:rPr>
        <w:t xml:space="preserve"> </w:t>
      </w:r>
      <w:r>
        <w:rPr>
          <w:rFonts w:ascii="Georgia" w:hAnsi="Georgia" w:cs="Arial"/>
          <w:bCs/>
          <w:sz w:val="20"/>
          <w:szCs w:val="20"/>
        </w:rPr>
        <w:t xml:space="preserve">this</w:t>
      </w:r>
      <w:r>
        <w:rPr>
          <w:rFonts w:ascii="Georgia" w:hAnsi="Georgia" w:cs="Arial"/>
          <w:bCs/>
          <w:sz w:val="20"/>
          <w:szCs w:val="20"/>
        </w:rPr>
        <w:t xml:space="preserve"> </w:t>
      </w:r>
      <w:r>
        <w:rPr>
          <w:rFonts w:ascii="Georgia" w:hAnsi="Georgia" w:cs="Arial"/>
          <w:bCs/>
          <w:sz w:val="20"/>
          <w:szCs w:val="20"/>
        </w:rPr>
        <w:t xml:space="preserve">research</w:t>
      </w:r>
      <w:r>
        <w:rPr>
          <w:rFonts w:ascii="Georgia" w:hAnsi="Georgia" w:cs="Arial"/>
          <w:bCs/>
          <w:sz w:val="20"/>
          <w:szCs w:val="20"/>
        </w:rPr>
        <w:t xml:space="preserve"> are </w:t>
      </w:r>
      <w:r>
        <w:rPr>
          <w:rFonts w:ascii="Georgia" w:hAnsi="Georgia" w:cs="Arial"/>
          <w:bCs/>
          <w:sz w:val="20"/>
          <w:szCs w:val="20"/>
        </w:rPr>
        <w:t xml:space="preserve">to</w:t>
      </w:r>
      <w:r>
        <w:rPr>
          <w:rFonts w:ascii="Georgia" w:hAnsi="Georgia" w:cs="Arial"/>
          <w:bCs/>
          <w:sz w:val="20"/>
          <w:szCs w:val="20"/>
        </w:rPr>
        <w:t xml:space="preserve"> </w:t>
      </w:r>
      <w:r>
        <w:rPr>
          <w:rFonts w:ascii="Georgia" w:hAnsi="Georgia" w:cs="Arial"/>
          <w:bCs/>
          <w:sz w:val="20"/>
          <w:szCs w:val="20"/>
        </w:rPr>
        <w:t xml:space="preserve">understand</w:t>
      </w:r>
      <w:r>
        <w:rPr>
          <w:rFonts w:ascii="Georgia" w:hAnsi="Georgia" w:cs="Arial"/>
          <w:bCs/>
          <w:sz w:val="20"/>
          <w:szCs w:val="20"/>
        </w:rPr>
        <w:t xml:space="preserve"> </w:t>
      </w:r>
      <w:r>
        <w:rPr>
          <w:rFonts w:ascii="Georgia" w:hAnsi="Georgia" w:cs="Arial"/>
          <w:bCs/>
          <w:sz w:val="20"/>
          <w:szCs w:val="20"/>
        </w:rPr>
        <w:t xml:space="preserve">how</w:t>
      </w:r>
      <w:r>
        <w:rPr>
          <w:rFonts w:ascii="Georgia" w:hAnsi="Georgia" w:cs="Arial"/>
          <w:bCs/>
          <w:sz w:val="20"/>
          <w:szCs w:val="20"/>
        </w:rPr>
        <w:t xml:space="preserve"> </w:t>
      </w:r>
      <w:r>
        <w:rPr>
          <w:rFonts w:ascii="Georgia" w:hAnsi="Georgia" w:cs="Arial"/>
          <w:bCs/>
          <w:sz w:val="20"/>
          <w:szCs w:val="20"/>
        </w:rPr>
        <w:t xml:space="preserve">the</w:t>
      </w:r>
      <w:r>
        <w:rPr>
          <w:rFonts w:ascii="Georgia" w:hAnsi="Georgia" w:cs="Arial"/>
          <w:bCs/>
          <w:sz w:val="20"/>
          <w:szCs w:val="20"/>
        </w:rPr>
        <w:t xml:space="preserve"> </w:t>
      </w:r>
      <w:r>
        <w:rPr>
          <w:rFonts w:ascii="Georgia" w:hAnsi="Georgia" w:cs="Arial"/>
          <w:bCs/>
          <w:sz w:val="20"/>
          <w:szCs w:val="20"/>
        </w:rPr>
        <w:t xml:space="preserve">urban</w:t>
      </w:r>
      <w:r>
        <w:rPr>
          <w:rFonts w:ascii="Georgia" w:hAnsi="Georgia" w:cs="Arial"/>
          <w:bCs/>
          <w:sz w:val="20"/>
          <w:szCs w:val="20"/>
        </w:rPr>
        <w:t xml:space="preserve"> network in </w:t>
      </w:r>
      <w:r>
        <w:rPr>
          <w:rFonts w:ascii="Georgia" w:hAnsi="Georgia" w:cs="Arial"/>
          <w:bCs/>
          <w:sz w:val="20"/>
          <w:szCs w:val="20"/>
        </w:rPr>
        <w:t xml:space="preserve">southern</w:t>
      </w:r>
      <w:r>
        <w:rPr>
          <w:rFonts w:ascii="Georgia" w:hAnsi="Georgia" w:cs="Arial"/>
          <w:bCs/>
          <w:sz w:val="20"/>
          <w:szCs w:val="20"/>
        </w:rPr>
        <w:t xml:space="preserve"> Minas Gerais </w:t>
      </w:r>
      <w:r>
        <w:rPr>
          <w:rFonts w:ascii="Georgia" w:hAnsi="Georgia" w:cs="Arial"/>
          <w:bCs/>
          <w:sz w:val="20"/>
          <w:szCs w:val="20"/>
        </w:rPr>
        <w:t xml:space="preserve">was</w:t>
      </w:r>
      <w:r>
        <w:rPr>
          <w:rFonts w:ascii="Georgia" w:hAnsi="Georgia" w:cs="Arial"/>
          <w:bCs/>
          <w:sz w:val="20"/>
          <w:szCs w:val="20"/>
        </w:rPr>
        <w:t xml:space="preserve"> </w:t>
      </w:r>
      <w:r>
        <w:rPr>
          <w:rFonts w:ascii="Georgia" w:hAnsi="Georgia" w:cs="Arial"/>
          <w:bCs/>
          <w:sz w:val="20"/>
          <w:szCs w:val="20"/>
        </w:rPr>
        <w:t xml:space="preserve">formed</w:t>
      </w:r>
      <w:r>
        <w:rPr>
          <w:rFonts w:ascii="Georgia" w:hAnsi="Georgia" w:cs="Arial"/>
          <w:bCs/>
          <w:sz w:val="20"/>
          <w:szCs w:val="20"/>
        </w:rPr>
        <w:t xml:space="preserve">, </w:t>
      </w:r>
      <w:r>
        <w:rPr>
          <w:rFonts w:ascii="Georgia" w:hAnsi="Georgia" w:cs="Arial"/>
          <w:bCs/>
          <w:sz w:val="20"/>
          <w:szCs w:val="20"/>
        </w:rPr>
        <w:t xml:space="preserve">with</w:t>
      </w:r>
      <w:r>
        <w:rPr>
          <w:rFonts w:ascii="Georgia" w:hAnsi="Georgia" w:cs="Arial"/>
          <w:bCs/>
          <w:sz w:val="20"/>
          <w:szCs w:val="20"/>
        </w:rPr>
        <w:t xml:space="preserve"> a </w:t>
      </w:r>
      <w:r>
        <w:rPr>
          <w:rFonts w:ascii="Georgia" w:hAnsi="Georgia" w:cs="Arial"/>
          <w:bCs/>
          <w:sz w:val="20"/>
          <w:szCs w:val="20"/>
        </w:rPr>
        <w:t xml:space="preserve">focus</w:t>
      </w:r>
      <w:r>
        <w:rPr>
          <w:rFonts w:ascii="Georgia" w:hAnsi="Georgia" w:cs="Arial"/>
          <w:bCs/>
          <w:sz w:val="20"/>
          <w:szCs w:val="20"/>
        </w:rPr>
        <w:t xml:space="preserve"> </w:t>
      </w:r>
      <w:r>
        <w:rPr>
          <w:rFonts w:ascii="Georgia" w:hAnsi="Georgia" w:cs="Arial"/>
          <w:bCs/>
          <w:sz w:val="20"/>
          <w:szCs w:val="20"/>
        </w:rPr>
        <w:t xml:space="preserve">on</w:t>
      </w:r>
      <w:r>
        <w:rPr>
          <w:rFonts w:ascii="Georgia" w:hAnsi="Georgia" w:cs="Arial"/>
          <w:bCs/>
          <w:sz w:val="20"/>
          <w:szCs w:val="20"/>
        </w:rPr>
        <w:t xml:space="preserve"> </w:t>
      </w:r>
      <w:r>
        <w:rPr>
          <w:rFonts w:ascii="Georgia" w:hAnsi="Georgia" w:cs="Arial"/>
          <w:bCs/>
          <w:sz w:val="20"/>
          <w:szCs w:val="20"/>
        </w:rPr>
        <w:t xml:space="preserve">the</w:t>
      </w:r>
      <w:r>
        <w:rPr>
          <w:rFonts w:ascii="Georgia" w:hAnsi="Georgia" w:cs="Arial"/>
          <w:bCs/>
          <w:sz w:val="20"/>
          <w:szCs w:val="20"/>
        </w:rPr>
        <w:t xml:space="preserve"> </w:t>
      </w:r>
      <w:r>
        <w:rPr>
          <w:rFonts w:ascii="Georgia" w:hAnsi="Georgia" w:cs="Arial"/>
          <w:bCs/>
          <w:sz w:val="20"/>
          <w:szCs w:val="20"/>
        </w:rPr>
        <w:t xml:space="preserve">Immediate</w:t>
      </w:r>
      <w:r>
        <w:rPr>
          <w:rFonts w:ascii="Georgia" w:hAnsi="Georgia" w:cs="Arial"/>
          <w:bCs/>
          <w:sz w:val="20"/>
          <w:szCs w:val="20"/>
        </w:rPr>
        <w:t xml:space="preserve"> </w:t>
      </w:r>
      <w:r>
        <w:rPr>
          <w:rFonts w:ascii="Georgia" w:hAnsi="Georgia" w:cs="Arial"/>
          <w:bCs/>
          <w:sz w:val="20"/>
          <w:szCs w:val="20"/>
        </w:rPr>
        <w:t xml:space="preserve">Region</w:t>
      </w:r>
      <w:r>
        <w:rPr>
          <w:rFonts w:ascii="Georgia" w:hAnsi="Georgia" w:cs="Arial"/>
          <w:bCs/>
          <w:sz w:val="20"/>
          <w:szCs w:val="20"/>
        </w:rPr>
        <w:t xml:space="preserve"> </w:t>
      </w:r>
      <w:r>
        <w:rPr>
          <w:rFonts w:ascii="Georgia" w:hAnsi="Georgia" w:cs="Arial"/>
          <w:bCs/>
          <w:sz w:val="20"/>
          <w:szCs w:val="20"/>
        </w:rPr>
        <w:t xml:space="preserve">of</w:t>
      </w:r>
      <w:r>
        <w:rPr>
          <w:rFonts w:ascii="Georgia" w:hAnsi="Georgia" w:cs="Arial"/>
          <w:bCs/>
          <w:sz w:val="20"/>
          <w:szCs w:val="20"/>
        </w:rPr>
        <w:t xml:space="preserve"> Alfenas; </w:t>
      </w:r>
      <w:r>
        <w:rPr>
          <w:rFonts w:ascii="Georgia" w:hAnsi="Georgia" w:cs="Arial"/>
          <w:bCs/>
          <w:sz w:val="20"/>
          <w:szCs w:val="20"/>
        </w:rPr>
        <w:t xml:space="preserve">how</w:t>
      </w:r>
      <w:r>
        <w:rPr>
          <w:rFonts w:ascii="Georgia" w:hAnsi="Georgia" w:cs="Arial"/>
          <w:bCs/>
          <w:sz w:val="20"/>
          <w:szCs w:val="20"/>
        </w:rPr>
        <w:t xml:space="preserve"> it </w:t>
      </w:r>
      <w:r>
        <w:rPr>
          <w:rFonts w:ascii="Georgia" w:hAnsi="Georgia" w:cs="Arial"/>
          <w:bCs/>
          <w:sz w:val="20"/>
          <w:szCs w:val="20"/>
        </w:rPr>
        <w:t xml:space="preserve">has</w:t>
      </w:r>
      <w:r>
        <w:rPr>
          <w:rFonts w:ascii="Georgia" w:hAnsi="Georgia" w:cs="Arial"/>
          <w:bCs/>
          <w:sz w:val="20"/>
          <w:szCs w:val="20"/>
        </w:rPr>
        <w:t xml:space="preserve"> </w:t>
      </w:r>
      <w:r>
        <w:rPr>
          <w:rFonts w:ascii="Georgia" w:hAnsi="Georgia" w:cs="Arial"/>
          <w:bCs/>
          <w:sz w:val="20"/>
          <w:szCs w:val="20"/>
        </w:rPr>
        <w:t xml:space="preserve">transformed</w:t>
      </w:r>
      <w:r>
        <w:rPr>
          <w:rFonts w:ascii="Georgia" w:hAnsi="Georgia" w:cs="Arial"/>
          <w:bCs/>
          <w:sz w:val="20"/>
          <w:szCs w:val="20"/>
        </w:rPr>
        <w:t xml:space="preserve"> over time; </w:t>
      </w:r>
      <w:r>
        <w:rPr>
          <w:rFonts w:ascii="Georgia" w:hAnsi="Georgia" w:cs="Arial"/>
          <w:bCs/>
          <w:sz w:val="20"/>
          <w:szCs w:val="20"/>
        </w:rPr>
        <w:t xml:space="preserve">and</w:t>
      </w:r>
      <w:r>
        <w:rPr>
          <w:rFonts w:ascii="Georgia" w:hAnsi="Georgia" w:cs="Arial"/>
          <w:bCs/>
          <w:sz w:val="20"/>
          <w:szCs w:val="20"/>
        </w:rPr>
        <w:t xml:space="preserve"> </w:t>
      </w:r>
      <w:r>
        <w:rPr>
          <w:rFonts w:ascii="Georgia" w:hAnsi="Georgia" w:cs="Arial"/>
          <w:bCs/>
          <w:sz w:val="20"/>
          <w:szCs w:val="20"/>
        </w:rPr>
        <w:t xml:space="preserve">what</w:t>
      </w:r>
      <w:r>
        <w:rPr>
          <w:rFonts w:ascii="Georgia" w:hAnsi="Georgia" w:cs="Arial"/>
          <w:bCs/>
          <w:sz w:val="20"/>
          <w:szCs w:val="20"/>
        </w:rPr>
        <w:t xml:space="preserve"> </w:t>
      </w:r>
      <w:r>
        <w:rPr>
          <w:rFonts w:ascii="Georgia" w:hAnsi="Georgia" w:cs="Arial"/>
          <w:bCs/>
          <w:sz w:val="20"/>
          <w:szCs w:val="20"/>
        </w:rPr>
        <w:t xml:space="preserve">spatial</w:t>
      </w:r>
      <w:r>
        <w:rPr>
          <w:rFonts w:ascii="Georgia" w:hAnsi="Georgia" w:cs="Arial"/>
          <w:bCs/>
          <w:sz w:val="20"/>
          <w:szCs w:val="20"/>
        </w:rPr>
        <w:t xml:space="preserve"> </w:t>
      </w:r>
      <w:r>
        <w:rPr>
          <w:rFonts w:ascii="Georgia" w:hAnsi="Georgia" w:cs="Arial"/>
          <w:bCs/>
          <w:sz w:val="20"/>
          <w:szCs w:val="20"/>
        </w:rPr>
        <w:t xml:space="preserve">patterns</w:t>
      </w:r>
      <w:r>
        <w:rPr>
          <w:rFonts w:ascii="Georgia" w:hAnsi="Georgia" w:cs="Arial"/>
          <w:bCs/>
          <w:sz w:val="20"/>
          <w:szCs w:val="20"/>
        </w:rPr>
        <w:t xml:space="preserve"> it </w:t>
      </w:r>
      <w:r>
        <w:rPr>
          <w:rFonts w:ascii="Georgia" w:hAnsi="Georgia" w:cs="Arial"/>
          <w:bCs/>
          <w:sz w:val="20"/>
          <w:szCs w:val="20"/>
        </w:rPr>
        <w:t xml:space="preserve">has</w:t>
      </w:r>
      <w:r>
        <w:rPr>
          <w:rFonts w:ascii="Georgia" w:hAnsi="Georgia" w:cs="Arial"/>
          <w:bCs/>
          <w:sz w:val="20"/>
          <w:szCs w:val="20"/>
        </w:rPr>
        <w:t xml:space="preserve"> </w:t>
      </w:r>
      <w:r>
        <w:rPr>
          <w:rFonts w:ascii="Georgia" w:hAnsi="Georgia" w:cs="Arial"/>
          <w:bCs/>
          <w:sz w:val="20"/>
          <w:szCs w:val="20"/>
        </w:rPr>
        <w:t xml:space="preserve">acquired</w:t>
      </w:r>
      <w:r>
        <w:rPr>
          <w:rFonts w:ascii="Georgia" w:hAnsi="Georgia" w:cs="Arial"/>
          <w:bCs/>
          <w:sz w:val="20"/>
          <w:szCs w:val="20"/>
        </w:rPr>
        <w:t xml:space="preserve">, </w:t>
      </w:r>
      <w:r>
        <w:rPr>
          <w:rFonts w:ascii="Georgia" w:hAnsi="Georgia" w:cs="Arial"/>
          <w:bCs/>
          <w:sz w:val="20"/>
          <w:szCs w:val="20"/>
        </w:rPr>
        <w:t xml:space="preserve">especially</w:t>
      </w:r>
      <w:r>
        <w:rPr>
          <w:rFonts w:ascii="Georgia" w:hAnsi="Georgia" w:cs="Arial"/>
          <w:bCs/>
          <w:sz w:val="20"/>
          <w:szCs w:val="20"/>
        </w:rPr>
        <w:t xml:space="preserve"> </w:t>
      </w:r>
      <w:r>
        <w:rPr>
          <w:rFonts w:ascii="Georgia" w:hAnsi="Georgia" w:cs="Arial"/>
          <w:bCs/>
          <w:sz w:val="20"/>
          <w:szCs w:val="20"/>
        </w:rPr>
        <w:t xml:space="preserve">from</w:t>
      </w:r>
      <w:r>
        <w:rPr>
          <w:rFonts w:ascii="Georgia" w:hAnsi="Georgia" w:cs="Arial"/>
          <w:bCs/>
          <w:sz w:val="20"/>
          <w:szCs w:val="20"/>
        </w:rPr>
        <w:t xml:space="preserve"> </w:t>
      </w:r>
      <w:r>
        <w:rPr>
          <w:rFonts w:ascii="Georgia" w:hAnsi="Georgia" w:cs="Arial"/>
          <w:bCs/>
          <w:sz w:val="20"/>
          <w:szCs w:val="20"/>
        </w:rPr>
        <w:t xml:space="preserve">the</w:t>
      </w:r>
      <w:r>
        <w:rPr>
          <w:rFonts w:ascii="Georgia" w:hAnsi="Georgia" w:cs="Arial"/>
          <w:bCs/>
          <w:sz w:val="20"/>
          <w:szCs w:val="20"/>
        </w:rPr>
        <w:t xml:space="preserve"> mid-20th </w:t>
      </w:r>
      <w:r>
        <w:rPr>
          <w:rFonts w:ascii="Georgia" w:hAnsi="Georgia" w:cs="Arial"/>
          <w:bCs/>
          <w:sz w:val="20"/>
          <w:szCs w:val="20"/>
        </w:rPr>
        <w:t xml:space="preserve">century</w:t>
      </w:r>
      <w:r>
        <w:rPr>
          <w:rFonts w:ascii="Georgia" w:hAnsi="Georgia" w:cs="Arial"/>
          <w:bCs/>
          <w:sz w:val="20"/>
          <w:szCs w:val="20"/>
        </w:rPr>
        <w:t xml:space="preserve"> </w:t>
      </w:r>
      <w:r>
        <w:rPr>
          <w:rFonts w:ascii="Georgia" w:hAnsi="Georgia" w:cs="Arial"/>
          <w:bCs/>
          <w:sz w:val="20"/>
          <w:szCs w:val="20"/>
        </w:rPr>
        <w:t xml:space="preserve">onwards</w:t>
      </w:r>
      <w:r>
        <w:rPr>
          <w:rFonts w:ascii="Georgia" w:hAnsi="Georgia" w:cs="Arial"/>
          <w:bCs/>
          <w:sz w:val="20"/>
          <w:szCs w:val="20"/>
        </w:rPr>
        <w:t xml:space="preserve">, </w:t>
      </w:r>
      <w:r>
        <w:rPr>
          <w:rFonts w:ascii="Georgia" w:hAnsi="Georgia" w:cs="Arial"/>
          <w:bCs/>
          <w:sz w:val="20"/>
          <w:szCs w:val="20"/>
        </w:rPr>
        <w:t xml:space="preserve">when</w:t>
      </w:r>
      <w:r>
        <w:rPr>
          <w:rFonts w:ascii="Georgia" w:hAnsi="Georgia" w:cs="Arial"/>
          <w:bCs/>
          <w:sz w:val="20"/>
          <w:szCs w:val="20"/>
        </w:rPr>
        <w:t xml:space="preserve"> </w:t>
      </w:r>
      <w:r>
        <w:rPr>
          <w:rFonts w:ascii="Georgia" w:hAnsi="Georgia" w:cs="Arial"/>
          <w:bCs/>
          <w:sz w:val="20"/>
          <w:szCs w:val="20"/>
        </w:rPr>
        <w:t xml:space="preserve">industrialization</w:t>
      </w:r>
      <w:r>
        <w:rPr>
          <w:rFonts w:ascii="Georgia" w:hAnsi="Georgia" w:cs="Arial"/>
          <w:bCs/>
          <w:sz w:val="20"/>
          <w:szCs w:val="20"/>
        </w:rPr>
        <w:t xml:space="preserve"> </w:t>
      </w:r>
      <w:r>
        <w:rPr>
          <w:rFonts w:ascii="Georgia" w:hAnsi="Georgia" w:cs="Arial"/>
          <w:bCs/>
          <w:sz w:val="20"/>
          <w:szCs w:val="20"/>
        </w:rPr>
        <w:t xml:space="preserve">and</w:t>
      </w:r>
      <w:r>
        <w:rPr>
          <w:rFonts w:ascii="Georgia" w:hAnsi="Georgia" w:cs="Arial"/>
          <w:bCs/>
          <w:sz w:val="20"/>
          <w:szCs w:val="20"/>
        </w:rPr>
        <w:t xml:space="preserve"> </w:t>
      </w:r>
      <w:r>
        <w:rPr>
          <w:rFonts w:ascii="Georgia" w:hAnsi="Georgia" w:cs="Arial"/>
          <w:bCs/>
          <w:sz w:val="20"/>
          <w:szCs w:val="20"/>
        </w:rPr>
        <w:t xml:space="preserve">urbanization</w:t>
      </w:r>
      <w:r>
        <w:rPr>
          <w:rFonts w:ascii="Georgia" w:hAnsi="Georgia" w:cs="Arial"/>
          <w:bCs/>
          <w:sz w:val="20"/>
          <w:szCs w:val="20"/>
        </w:rPr>
        <w:t xml:space="preserve"> processes </w:t>
      </w:r>
      <w:r>
        <w:rPr>
          <w:rFonts w:ascii="Georgia" w:hAnsi="Georgia" w:cs="Arial"/>
          <w:bCs/>
          <w:sz w:val="20"/>
          <w:szCs w:val="20"/>
        </w:rPr>
        <w:t xml:space="preserve">advanced</w:t>
      </w:r>
      <w:r>
        <w:rPr>
          <w:rFonts w:ascii="Georgia" w:hAnsi="Georgia" w:cs="Arial"/>
          <w:bCs/>
          <w:sz w:val="20"/>
          <w:szCs w:val="20"/>
        </w:rPr>
        <w:t xml:space="preserve"> </w:t>
      </w:r>
      <w:r>
        <w:rPr>
          <w:rFonts w:ascii="Georgia" w:hAnsi="Georgia" w:cs="Arial"/>
          <w:bCs/>
          <w:sz w:val="20"/>
          <w:szCs w:val="20"/>
        </w:rPr>
        <w:t xml:space="preserve">throughout</w:t>
      </w:r>
      <w:r>
        <w:rPr>
          <w:rFonts w:ascii="Georgia" w:hAnsi="Georgia" w:cs="Arial"/>
          <w:bCs/>
          <w:sz w:val="20"/>
          <w:szCs w:val="20"/>
        </w:rPr>
        <w:t xml:space="preserve"> </w:t>
      </w:r>
      <w:r>
        <w:rPr>
          <w:rFonts w:ascii="Georgia" w:hAnsi="Georgia" w:cs="Arial"/>
          <w:bCs/>
          <w:sz w:val="20"/>
          <w:szCs w:val="20"/>
        </w:rPr>
        <w:t xml:space="preserve">the</w:t>
      </w:r>
      <w:r>
        <w:rPr>
          <w:rFonts w:ascii="Georgia" w:hAnsi="Georgia" w:cs="Arial"/>
          <w:bCs/>
          <w:sz w:val="20"/>
          <w:szCs w:val="20"/>
        </w:rPr>
        <w:t xml:space="preserve"> country. The </w:t>
      </w:r>
      <w:r>
        <w:rPr>
          <w:rFonts w:ascii="Georgia" w:hAnsi="Georgia" w:cs="Arial"/>
          <w:bCs/>
          <w:sz w:val="20"/>
          <w:szCs w:val="20"/>
        </w:rPr>
        <w:t xml:space="preserve">study</w:t>
      </w:r>
      <w:r>
        <w:rPr>
          <w:rFonts w:ascii="Georgia" w:hAnsi="Georgia" w:cs="Arial"/>
          <w:bCs/>
          <w:sz w:val="20"/>
          <w:szCs w:val="20"/>
        </w:rPr>
        <w:t xml:space="preserve"> </w:t>
      </w:r>
      <w:r>
        <w:rPr>
          <w:rFonts w:ascii="Georgia" w:hAnsi="Georgia" w:cs="Arial"/>
          <w:bCs/>
          <w:sz w:val="20"/>
          <w:szCs w:val="20"/>
        </w:rPr>
        <w:t xml:space="preserve">also</w:t>
      </w:r>
      <w:r>
        <w:rPr>
          <w:rFonts w:ascii="Georgia" w:hAnsi="Georgia" w:cs="Arial"/>
          <w:bCs/>
          <w:sz w:val="20"/>
          <w:szCs w:val="20"/>
        </w:rPr>
        <w:t xml:space="preserve"> </w:t>
      </w:r>
      <w:r>
        <w:rPr>
          <w:rFonts w:ascii="Georgia" w:hAnsi="Georgia" w:cs="Arial"/>
          <w:bCs/>
          <w:sz w:val="20"/>
          <w:szCs w:val="20"/>
        </w:rPr>
        <w:t xml:space="preserve">considers</w:t>
      </w:r>
      <w:r>
        <w:rPr>
          <w:rFonts w:ascii="Georgia" w:hAnsi="Georgia" w:cs="Arial"/>
          <w:bCs/>
          <w:sz w:val="20"/>
          <w:szCs w:val="20"/>
        </w:rPr>
        <w:t xml:space="preserve"> </w:t>
      </w:r>
      <w:r>
        <w:rPr>
          <w:rFonts w:ascii="Georgia" w:hAnsi="Georgia" w:cs="Arial"/>
          <w:bCs/>
          <w:sz w:val="20"/>
          <w:szCs w:val="20"/>
        </w:rPr>
        <w:t xml:space="preserve">the</w:t>
      </w:r>
      <w:r>
        <w:rPr>
          <w:rFonts w:ascii="Georgia" w:hAnsi="Georgia" w:cs="Arial"/>
          <w:bCs/>
          <w:sz w:val="20"/>
          <w:szCs w:val="20"/>
        </w:rPr>
        <w:t xml:space="preserve"> </w:t>
      </w:r>
      <w:r>
        <w:rPr>
          <w:rFonts w:ascii="Georgia" w:hAnsi="Georgia" w:cs="Arial"/>
          <w:bCs/>
          <w:sz w:val="20"/>
          <w:szCs w:val="20"/>
        </w:rPr>
        <w:t xml:space="preserve">articulation</w:t>
      </w:r>
      <w:r>
        <w:rPr>
          <w:rFonts w:ascii="Georgia" w:hAnsi="Georgia" w:cs="Arial"/>
          <w:bCs/>
          <w:sz w:val="20"/>
          <w:szCs w:val="20"/>
        </w:rPr>
        <w:t xml:space="preserve"> </w:t>
      </w:r>
      <w:r>
        <w:rPr>
          <w:rFonts w:ascii="Georgia" w:hAnsi="Georgia" w:cs="Arial"/>
          <w:bCs/>
          <w:sz w:val="20"/>
          <w:szCs w:val="20"/>
        </w:rPr>
        <w:t xml:space="preserve">between</w:t>
      </w:r>
      <w:r>
        <w:rPr>
          <w:rFonts w:ascii="Georgia" w:hAnsi="Georgia" w:cs="Arial"/>
          <w:bCs/>
          <w:sz w:val="20"/>
          <w:szCs w:val="20"/>
        </w:rPr>
        <w:t xml:space="preserve"> regional </w:t>
      </w:r>
      <w:r>
        <w:rPr>
          <w:rFonts w:ascii="Georgia" w:hAnsi="Georgia" w:cs="Arial"/>
          <w:bCs/>
          <w:sz w:val="20"/>
          <w:szCs w:val="20"/>
        </w:rPr>
        <w:t xml:space="preserve">and</w:t>
      </w:r>
      <w:r>
        <w:rPr>
          <w:rFonts w:ascii="Georgia" w:hAnsi="Georgia" w:cs="Arial"/>
          <w:bCs/>
          <w:sz w:val="20"/>
          <w:szCs w:val="20"/>
        </w:rPr>
        <w:t xml:space="preserve"> </w:t>
      </w:r>
      <w:r>
        <w:rPr>
          <w:rFonts w:ascii="Georgia" w:hAnsi="Georgia" w:cs="Arial"/>
          <w:bCs/>
          <w:sz w:val="20"/>
          <w:szCs w:val="20"/>
        </w:rPr>
        <w:t xml:space="preserve">intraurban</w:t>
      </w:r>
      <w:r>
        <w:rPr>
          <w:rFonts w:ascii="Georgia" w:hAnsi="Georgia" w:cs="Arial"/>
          <w:bCs/>
          <w:sz w:val="20"/>
          <w:szCs w:val="20"/>
        </w:rPr>
        <w:t xml:space="preserve"> </w:t>
      </w:r>
      <w:r>
        <w:rPr>
          <w:rFonts w:ascii="Georgia" w:hAnsi="Georgia" w:cs="Arial"/>
          <w:bCs/>
          <w:sz w:val="20"/>
          <w:szCs w:val="20"/>
        </w:rPr>
        <w:t xml:space="preserve">scales</w:t>
      </w:r>
      <w:r>
        <w:rPr>
          <w:rFonts w:ascii="Georgia" w:hAnsi="Georgia" w:cs="Arial"/>
          <w:bCs/>
          <w:sz w:val="20"/>
          <w:szCs w:val="20"/>
        </w:rPr>
        <w:t xml:space="preserve"> in </w:t>
      </w:r>
      <w:r>
        <w:rPr>
          <w:rFonts w:ascii="Georgia" w:hAnsi="Georgia" w:cs="Arial"/>
          <w:bCs/>
          <w:sz w:val="20"/>
          <w:szCs w:val="20"/>
        </w:rPr>
        <w:t xml:space="preserve">the</w:t>
      </w:r>
      <w:r>
        <w:rPr>
          <w:rFonts w:ascii="Georgia" w:hAnsi="Georgia" w:cs="Arial"/>
          <w:bCs/>
          <w:sz w:val="20"/>
          <w:szCs w:val="20"/>
        </w:rPr>
        <w:t xml:space="preserve"> case </w:t>
      </w:r>
      <w:r>
        <w:rPr>
          <w:rFonts w:ascii="Georgia" w:hAnsi="Georgia" w:cs="Arial"/>
          <w:bCs/>
          <w:sz w:val="20"/>
          <w:szCs w:val="20"/>
        </w:rPr>
        <w:t xml:space="preserve">of</w:t>
      </w:r>
      <w:r>
        <w:rPr>
          <w:rFonts w:ascii="Georgia" w:hAnsi="Georgia" w:cs="Arial"/>
          <w:bCs/>
          <w:sz w:val="20"/>
          <w:szCs w:val="20"/>
        </w:rPr>
        <w:t xml:space="preserve"> Alfenas </w:t>
      </w:r>
      <w:r>
        <w:rPr>
          <w:rFonts w:ascii="Georgia" w:hAnsi="Georgia" w:cs="Arial"/>
          <w:bCs/>
          <w:sz w:val="20"/>
          <w:szCs w:val="20"/>
        </w:rPr>
        <w:t xml:space="preserve">and</w:t>
      </w:r>
      <w:r>
        <w:rPr>
          <w:rFonts w:ascii="Georgia" w:hAnsi="Georgia" w:cs="Arial"/>
          <w:bCs/>
          <w:sz w:val="20"/>
          <w:szCs w:val="20"/>
        </w:rPr>
        <w:t xml:space="preserve"> its </w:t>
      </w:r>
      <w:r>
        <w:rPr>
          <w:rFonts w:ascii="Georgia" w:hAnsi="Georgia" w:cs="Arial"/>
          <w:bCs/>
          <w:sz w:val="20"/>
          <w:szCs w:val="20"/>
        </w:rPr>
        <w:t xml:space="preserve">immediate</w:t>
      </w:r>
      <w:r>
        <w:rPr>
          <w:rFonts w:ascii="Georgia" w:hAnsi="Georgia" w:cs="Arial"/>
          <w:bCs/>
          <w:sz w:val="20"/>
          <w:szCs w:val="20"/>
        </w:rPr>
        <w:t xml:space="preserve"> region. </w:t>
      </w:r>
      <w:r>
        <w:rPr>
          <w:rFonts w:ascii="Georgia" w:hAnsi="Georgia" w:cs="Arial"/>
          <w:bCs/>
          <w:sz w:val="20"/>
          <w:szCs w:val="20"/>
        </w:rPr>
        <w:t xml:space="preserve">Methodological</w:t>
      </w:r>
      <w:r>
        <w:rPr>
          <w:rFonts w:ascii="Georgia" w:hAnsi="Georgia" w:cs="Arial"/>
          <w:bCs/>
          <w:sz w:val="20"/>
          <w:szCs w:val="20"/>
        </w:rPr>
        <w:t xml:space="preserve"> procedures are </w:t>
      </w:r>
      <w:r>
        <w:rPr>
          <w:rFonts w:ascii="Georgia" w:hAnsi="Georgia" w:cs="Arial"/>
          <w:bCs/>
          <w:sz w:val="20"/>
          <w:szCs w:val="20"/>
        </w:rPr>
        <w:t xml:space="preserve">based</w:t>
      </w:r>
      <w:r>
        <w:rPr>
          <w:rFonts w:ascii="Georgia" w:hAnsi="Georgia" w:cs="Arial"/>
          <w:bCs/>
          <w:sz w:val="20"/>
          <w:szCs w:val="20"/>
        </w:rPr>
        <w:t xml:space="preserve"> </w:t>
      </w:r>
      <w:r>
        <w:rPr>
          <w:rFonts w:ascii="Georgia" w:hAnsi="Georgia" w:cs="Arial"/>
          <w:bCs/>
          <w:sz w:val="20"/>
          <w:szCs w:val="20"/>
        </w:rPr>
        <w:t xml:space="preserve">on</w:t>
      </w:r>
      <w:r>
        <w:rPr>
          <w:rFonts w:ascii="Georgia" w:hAnsi="Georgia" w:cs="Arial"/>
          <w:bCs/>
          <w:sz w:val="20"/>
          <w:szCs w:val="20"/>
        </w:rPr>
        <w:t xml:space="preserve"> </w:t>
      </w:r>
      <w:r>
        <w:rPr>
          <w:rFonts w:ascii="Georgia" w:hAnsi="Georgia" w:cs="Arial"/>
          <w:bCs/>
          <w:sz w:val="20"/>
          <w:szCs w:val="20"/>
        </w:rPr>
        <w:t xml:space="preserve">bibliographical</w:t>
      </w:r>
      <w:r>
        <w:rPr>
          <w:rFonts w:ascii="Georgia" w:hAnsi="Georgia" w:cs="Arial"/>
          <w:bCs/>
          <w:sz w:val="20"/>
          <w:szCs w:val="20"/>
        </w:rPr>
        <w:t xml:space="preserve"> </w:t>
      </w:r>
      <w:r>
        <w:rPr>
          <w:rFonts w:ascii="Georgia" w:hAnsi="Georgia" w:cs="Arial"/>
          <w:bCs/>
          <w:sz w:val="20"/>
          <w:szCs w:val="20"/>
        </w:rPr>
        <w:t xml:space="preserve">research</w:t>
      </w:r>
      <w:r>
        <w:rPr>
          <w:rFonts w:ascii="Georgia" w:hAnsi="Georgia" w:cs="Arial"/>
          <w:bCs/>
          <w:sz w:val="20"/>
          <w:szCs w:val="20"/>
        </w:rPr>
        <w:t xml:space="preserve"> </w:t>
      </w:r>
      <w:r>
        <w:rPr>
          <w:rFonts w:ascii="Georgia" w:hAnsi="Georgia" w:cs="Arial"/>
          <w:bCs/>
          <w:sz w:val="20"/>
          <w:szCs w:val="20"/>
        </w:rPr>
        <w:t xml:space="preserve">of</w:t>
      </w:r>
      <w:r>
        <w:rPr>
          <w:rFonts w:ascii="Georgia" w:hAnsi="Georgia" w:cs="Arial"/>
          <w:bCs/>
          <w:sz w:val="20"/>
          <w:szCs w:val="20"/>
        </w:rPr>
        <w:t xml:space="preserve"> books, </w:t>
      </w:r>
      <w:r>
        <w:rPr>
          <w:rFonts w:ascii="Georgia" w:hAnsi="Georgia" w:cs="Arial"/>
          <w:bCs/>
          <w:sz w:val="20"/>
          <w:szCs w:val="20"/>
        </w:rPr>
        <w:t xml:space="preserve">articles</w:t>
      </w:r>
      <w:r>
        <w:rPr>
          <w:rFonts w:ascii="Georgia" w:hAnsi="Georgia" w:cs="Arial"/>
          <w:bCs/>
          <w:sz w:val="20"/>
          <w:szCs w:val="20"/>
        </w:rPr>
        <w:t xml:space="preserve">, </w:t>
      </w:r>
      <w:r>
        <w:rPr>
          <w:rFonts w:ascii="Georgia" w:hAnsi="Georgia" w:cs="Arial"/>
          <w:bCs/>
          <w:sz w:val="20"/>
          <w:szCs w:val="20"/>
        </w:rPr>
        <w:t xml:space="preserve">and</w:t>
      </w:r>
      <w:r>
        <w:rPr>
          <w:rFonts w:ascii="Georgia" w:hAnsi="Georgia" w:cs="Arial"/>
          <w:bCs/>
          <w:sz w:val="20"/>
          <w:szCs w:val="20"/>
        </w:rPr>
        <w:t xml:space="preserve"> </w:t>
      </w:r>
      <w:r>
        <w:rPr>
          <w:rFonts w:ascii="Georgia" w:hAnsi="Georgia" w:cs="Arial"/>
          <w:bCs/>
          <w:sz w:val="20"/>
          <w:szCs w:val="20"/>
        </w:rPr>
        <w:t xml:space="preserve">theses</w:t>
      </w:r>
      <w:r>
        <w:rPr>
          <w:rFonts w:ascii="Georgia" w:hAnsi="Georgia" w:cs="Arial"/>
          <w:bCs/>
          <w:sz w:val="20"/>
          <w:szCs w:val="20"/>
        </w:rPr>
        <w:t xml:space="preserve"> </w:t>
      </w:r>
      <w:r>
        <w:rPr>
          <w:rFonts w:ascii="Georgia" w:hAnsi="Georgia" w:cs="Arial"/>
          <w:bCs/>
          <w:sz w:val="20"/>
          <w:szCs w:val="20"/>
        </w:rPr>
        <w:t xml:space="preserve">directly</w:t>
      </w:r>
      <w:r>
        <w:rPr>
          <w:rFonts w:ascii="Georgia" w:hAnsi="Georgia" w:cs="Arial"/>
          <w:bCs/>
          <w:sz w:val="20"/>
          <w:szCs w:val="20"/>
        </w:rPr>
        <w:t xml:space="preserve"> </w:t>
      </w:r>
      <w:r>
        <w:rPr>
          <w:rFonts w:ascii="Georgia" w:hAnsi="Georgia" w:cs="Arial"/>
          <w:bCs/>
          <w:sz w:val="20"/>
          <w:szCs w:val="20"/>
        </w:rPr>
        <w:t xml:space="preserve">related</w:t>
      </w:r>
      <w:r>
        <w:rPr>
          <w:rFonts w:ascii="Georgia" w:hAnsi="Georgia" w:cs="Arial"/>
          <w:bCs/>
          <w:sz w:val="20"/>
          <w:szCs w:val="20"/>
        </w:rPr>
        <w:t xml:space="preserve"> </w:t>
      </w:r>
      <w:r>
        <w:rPr>
          <w:rFonts w:ascii="Georgia" w:hAnsi="Georgia" w:cs="Arial"/>
          <w:bCs/>
          <w:sz w:val="20"/>
          <w:szCs w:val="20"/>
        </w:rPr>
        <w:t xml:space="preserve">to</w:t>
      </w:r>
      <w:r>
        <w:rPr>
          <w:rFonts w:ascii="Georgia" w:hAnsi="Georgia" w:cs="Arial"/>
          <w:bCs/>
          <w:sz w:val="20"/>
          <w:szCs w:val="20"/>
        </w:rPr>
        <w:t xml:space="preserve"> </w:t>
      </w:r>
      <w:r>
        <w:rPr>
          <w:rFonts w:ascii="Georgia" w:hAnsi="Georgia" w:cs="Arial"/>
          <w:bCs/>
          <w:sz w:val="20"/>
          <w:szCs w:val="20"/>
        </w:rPr>
        <w:t xml:space="preserve">urban</w:t>
      </w:r>
      <w:r>
        <w:rPr>
          <w:rFonts w:ascii="Georgia" w:hAnsi="Georgia" w:cs="Arial"/>
          <w:bCs/>
          <w:sz w:val="20"/>
          <w:szCs w:val="20"/>
        </w:rPr>
        <w:t xml:space="preserve"> </w:t>
      </w:r>
      <w:r>
        <w:rPr>
          <w:rFonts w:ascii="Georgia" w:hAnsi="Georgia" w:cs="Arial"/>
          <w:bCs/>
          <w:sz w:val="20"/>
          <w:szCs w:val="20"/>
        </w:rPr>
        <w:t xml:space="preserve">geography</w:t>
      </w:r>
      <w:r>
        <w:rPr>
          <w:rFonts w:ascii="Georgia" w:hAnsi="Georgia" w:cs="Arial"/>
          <w:bCs/>
          <w:sz w:val="20"/>
          <w:szCs w:val="20"/>
        </w:rPr>
        <w:t xml:space="preserve"> </w:t>
      </w:r>
      <w:r>
        <w:rPr>
          <w:rFonts w:ascii="Georgia" w:hAnsi="Georgia" w:cs="Arial"/>
          <w:bCs/>
          <w:sz w:val="20"/>
          <w:szCs w:val="20"/>
        </w:rPr>
        <w:t xml:space="preserve">themes</w:t>
      </w:r>
      <w:r>
        <w:rPr>
          <w:rFonts w:ascii="Georgia" w:hAnsi="Georgia" w:cs="Arial"/>
          <w:bCs/>
          <w:sz w:val="20"/>
          <w:szCs w:val="20"/>
        </w:rPr>
        <w:t xml:space="preserve"> </w:t>
      </w:r>
      <w:r>
        <w:rPr>
          <w:rFonts w:ascii="Georgia" w:hAnsi="Georgia" w:cs="Arial"/>
          <w:bCs/>
          <w:sz w:val="20"/>
          <w:szCs w:val="20"/>
        </w:rPr>
        <w:t xml:space="preserve">involving</w:t>
      </w:r>
      <w:r>
        <w:rPr>
          <w:rFonts w:ascii="Georgia" w:hAnsi="Georgia" w:cs="Arial"/>
          <w:bCs/>
          <w:sz w:val="20"/>
          <w:szCs w:val="20"/>
        </w:rPr>
        <w:t xml:space="preserve"> </w:t>
      </w:r>
      <w:r>
        <w:rPr>
          <w:rFonts w:ascii="Georgia" w:hAnsi="Georgia" w:cs="Arial"/>
          <w:bCs/>
          <w:sz w:val="20"/>
          <w:szCs w:val="20"/>
        </w:rPr>
        <w:t xml:space="preserve">the</w:t>
      </w:r>
      <w:r>
        <w:rPr>
          <w:rFonts w:ascii="Georgia" w:hAnsi="Georgia" w:cs="Arial"/>
          <w:bCs/>
          <w:sz w:val="20"/>
          <w:szCs w:val="20"/>
        </w:rPr>
        <w:t xml:space="preserve"> </w:t>
      </w:r>
      <w:r>
        <w:rPr>
          <w:rFonts w:ascii="Georgia" w:hAnsi="Georgia" w:cs="Arial"/>
          <w:bCs/>
          <w:sz w:val="20"/>
          <w:szCs w:val="20"/>
        </w:rPr>
        <w:t xml:space="preserve">city</w:t>
      </w:r>
      <w:r>
        <w:rPr>
          <w:rFonts w:ascii="Georgia" w:hAnsi="Georgia" w:cs="Arial"/>
          <w:bCs/>
          <w:sz w:val="20"/>
          <w:szCs w:val="20"/>
        </w:rPr>
        <w:t xml:space="preserve"> </w:t>
      </w:r>
      <w:r>
        <w:rPr>
          <w:rFonts w:ascii="Georgia" w:hAnsi="Georgia" w:cs="Arial"/>
          <w:bCs/>
          <w:sz w:val="20"/>
          <w:szCs w:val="20"/>
        </w:rPr>
        <w:t xml:space="preserve">of</w:t>
      </w:r>
      <w:r>
        <w:rPr>
          <w:rFonts w:ascii="Georgia" w:hAnsi="Georgia" w:cs="Arial"/>
          <w:bCs/>
          <w:sz w:val="20"/>
          <w:szCs w:val="20"/>
        </w:rPr>
        <w:t xml:space="preserve"> Alfenas </w:t>
      </w:r>
      <w:r>
        <w:rPr>
          <w:rFonts w:ascii="Georgia" w:hAnsi="Georgia" w:cs="Arial"/>
          <w:bCs/>
          <w:sz w:val="20"/>
          <w:szCs w:val="20"/>
        </w:rPr>
        <w:t xml:space="preserve">and</w:t>
      </w:r>
      <w:r>
        <w:rPr>
          <w:rFonts w:ascii="Georgia" w:hAnsi="Georgia" w:cs="Arial"/>
          <w:bCs/>
          <w:sz w:val="20"/>
          <w:szCs w:val="20"/>
        </w:rPr>
        <w:t xml:space="preserve"> </w:t>
      </w:r>
      <w:r>
        <w:rPr>
          <w:rFonts w:ascii="Georgia" w:hAnsi="Georgia" w:cs="Arial"/>
          <w:bCs/>
          <w:sz w:val="20"/>
          <w:szCs w:val="20"/>
        </w:rPr>
        <w:t xml:space="preserve">the</w:t>
      </w:r>
      <w:r>
        <w:rPr>
          <w:rFonts w:ascii="Georgia" w:hAnsi="Georgia" w:cs="Arial"/>
          <w:bCs/>
          <w:sz w:val="20"/>
          <w:szCs w:val="20"/>
        </w:rPr>
        <w:t xml:space="preserve"> </w:t>
      </w:r>
      <w:r>
        <w:rPr>
          <w:rFonts w:ascii="Georgia" w:hAnsi="Georgia" w:cs="Arial"/>
          <w:bCs/>
          <w:sz w:val="20"/>
          <w:szCs w:val="20"/>
        </w:rPr>
        <w:t xml:space="preserve">urban</w:t>
      </w:r>
      <w:r>
        <w:rPr>
          <w:rFonts w:ascii="Georgia" w:hAnsi="Georgia" w:cs="Arial"/>
          <w:bCs/>
          <w:sz w:val="20"/>
          <w:szCs w:val="20"/>
        </w:rPr>
        <w:t xml:space="preserve"> network </w:t>
      </w:r>
      <w:r>
        <w:rPr>
          <w:rFonts w:ascii="Georgia" w:hAnsi="Georgia" w:cs="Arial"/>
          <w:bCs/>
          <w:sz w:val="20"/>
          <w:szCs w:val="20"/>
        </w:rPr>
        <w:t xml:space="preserve">of</w:t>
      </w:r>
      <w:r>
        <w:rPr>
          <w:rFonts w:ascii="Georgia" w:hAnsi="Georgia" w:cs="Arial"/>
          <w:bCs/>
          <w:sz w:val="20"/>
          <w:szCs w:val="20"/>
        </w:rPr>
        <w:t xml:space="preserve"> </w:t>
      </w:r>
      <w:r>
        <w:rPr>
          <w:rFonts w:ascii="Georgia" w:hAnsi="Georgia" w:cs="Arial"/>
          <w:bCs/>
          <w:sz w:val="20"/>
          <w:szCs w:val="20"/>
        </w:rPr>
        <w:t xml:space="preserve">southern</w:t>
      </w:r>
      <w:r>
        <w:rPr>
          <w:rFonts w:ascii="Georgia" w:hAnsi="Georgia" w:cs="Arial"/>
          <w:bCs/>
          <w:sz w:val="20"/>
          <w:szCs w:val="20"/>
        </w:rPr>
        <w:t xml:space="preserve"> Minas Gerais; </w:t>
      </w:r>
      <w:r>
        <w:rPr>
          <w:rFonts w:ascii="Georgia" w:hAnsi="Georgia" w:cs="Arial"/>
          <w:bCs/>
          <w:sz w:val="20"/>
          <w:szCs w:val="20"/>
        </w:rPr>
        <w:t xml:space="preserve">statistical</w:t>
      </w:r>
      <w:r>
        <w:rPr>
          <w:rFonts w:ascii="Georgia" w:hAnsi="Georgia" w:cs="Arial"/>
          <w:bCs/>
          <w:sz w:val="20"/>
          <w:szCs w:val="20"/>
        </w:rPr>
        <w:t xml:space="preserve"> data </w:t>
      </w:r>
      <w:r>
        <w:rPr>
          <w:rFonts w:ascii="Georgia" w:hAnsi="Georgia" w:cs="Arial"/>
          <w:bCs/>
          <w:sz w:val="20"/>
          <w:szCs w:val="20"/>
        </w:rPr>
        <w:t xml:space="preserve">collection</w:t>
      </w:r>
      <w:r>
        <w:rPr>
          <w:rFonts w:ascii="Georgia" w:hAnsi="Georgia" w:cs="Arial"/>
          <w:bCs/>
          <w:sz w:val="20"/>
          <w:szCs w:val="20"/>
        </w:rPr>
        <w:t xml:space="preserve"> </w:t>
      </w:r>
      <w:r>
        <w:rPr>
          <w:rFonts w:ascii="Georgia" w:hAnsi="Georgia" w:cs="Arial"/>
          <w:bCs/>
          <w:sz w:val="20"/>
          <w:szCs w:val="20"/>
        </w:rPr>
        <w:t xml:space="preserve">from</w:t>
      </w:r>
      <w:r>
        <w:rPr>
          <w:rFonts w:ascii="Georgia" w:hAnsi="Georgia" w:cs="Arial"/>
          <w:bCs/>
          <w:sz w:val="20"/>
          <w:szCs w:val="20"/>
        </w:rPr>
        <w:t xml:space="preserve"> </w:t>
      </w:r>
      <w:r>
        <w:rPr>
          <w:rFonts w:ascii="Georgia" w:hAnsi="Georgia" w:cs="Arial"/>
          <w:bCs/>
          <w:sz w:val="20"/>
          <w:szCs w:val="20"/>
        </w:rPr>
        <w:t xml:space="preserve">institutional</w:t>
      </w:r>
      <w:r>
        <w:rPr>
          <w:rFonts w:ascii="Georgia" w:hAnsi="Georgia" w:cs="Arial"/>
          <w:bCs/>
          <w:sz w:val="20"/>
          <w:szCs w:val="20"/>
        </w:rPr>
        <w:t xml:space="preserve"> </w:t>
      </w:r>
      <w:r>
        <w:rPr>
          <w:rFonts w:ascii="Georgia" w:hAnsi="Georgia" w:cs="Arial"/>
          <w:bCs/>
          <w:sz w:val="20"/>
          <w:szCs w:val="20"/>
        </w:rPr>
        <w:t xml:space="preserve">sources</w:t>
      </w:r>
      <w:r>
        <w:rPr>
          <w:rFonts w:ascii="Georgia" w:hAnsi="Georgia" w:cs="Arial"/>
          <w:bCs/>
          <w:sz w:val="20"/>
          <w:szCs w:val="20"/>
        </w:rPr>
        <w:t xml:space="preserve"> </w:t>
      </w:r>
      <w:r>
        <w:rPr>
          <w:rFonts w:ascii="Georgia" w:hAnsi="Georgia" w:cs="Arial"/>
          <w:bCs/>
          <w:sz w:val="20"/>
          <w:szCs w:val="20"/>
        </w:rPr>
        <w:t xml:space="preserve">and</w:t>
      </w:r>
      <w:r>
        <w:rPr>
          <w:rFonts w:ascii="Georgia" w:hAnsi="Georgia" w:cs="Arial"/>
          <w:bCs/>
          <w:sz w:val="20"/>
          <w:szCs w:val="20"/>
        </w:rPr>
        <w:t xml:space="preserve"> </w:t>
      </w:r>
      <w:r>
        <w:rPr>
          <w:rFonts w:ascii="Georgia" w:hAnsi="Georgia" w:cs="Arial"/>
          <w:bCs/>
          <w:sz w:val="20"/>
          <w:szCs w:val="20"/>
        </w:rPr>
        <w:t xml:space="preserve">cartographic</w:t>
      </w:r>
      <w:r>
        <w:rPr>
          <w:rFonts w:ascii="Georgia" w:hAnsi="Georgia" w:cs="Arial"/>
          <w:bCs/>
          <w:sz w:val="20"/>
          <w:szCs w:val="20"/>
        </w:rPr>
        <w:t xml:space="preserve"> </w:t>
      </w:r>
      <w:r>
        <w:rPr>
          <w:rFonts w:ascii="Georgia" w:hAnsi="Georgia" w:cs="Arial"/>
          <w:bCs/>
          <w:sz w:val="20"/>
          <w:szCs w:val="20"/>
        </w:rPr>
        <w:t xml:space="preserve">surveys</w:t>
      </w:r>
      <w:r>
        <w:rPr>
          <w:rFonts w:ascii="Georgia" w:hAnsi="Georgia" w:cs="Arial"/>
          <w:bCs/>
          <w:sz w:val="20"/>
          <w:szCs w:val="20"/>
        </w:rPr>
        <w:t xml:space="preserve">.</w:t>
      </w:r>
      <w:r>
        <w:rPr>
          <w:rFonts w:ascii="Georgia" w:hAnsi="Georgia" w:cs="Arial"/>
          <w:b/>
          <w:sz w:val="20"/>
          <w:szCs w:val="20"/>
        </w:rPr>
      </w:r>
    </w:p>
    <w:p w14:paraId="3FF9AC3D" w14:textId="1019EE53">
      <w:pPr>
        <w:pBdr/>
        <w:spacing/>
        <w:ind/>
        <w:rPr>
          <w:rFonts w:ascii="Georgia" w:hAnsi="Georgia"/>
          <w:b/>
          <w:bCs/>
        </w:rPr>
      </w:pPr>
      <w:r>
        <w:rPr>
          <w:rFonts w:ascii="Georgia" w:hAnsi="Georgia" w:cs="Arial"/>
          <w:b/>
          <w:sz w:val="20"/>
          <w:szCs w:val="20"/>
        </w:rPr>
        <w:t xml:space="preserve">Keywords</w:t>
      </w:r>
      <w:r>
        <w:rPr>
          <w:rFonts w:ascii="Georgia" w:hAnsi="Georgia" w:cs="Arial"/>
          <w:bCs/>
          <w:sz w:val="20"/>
          <w:szCs w:val="20"/>
        </w:rPr>
        <w:t xml:space="preserve">: </w:t>
      </w:r>
      <w:r>
        <w:rPr>
          <w:rFonts w:ascii="Georgia" w:hAnsi="Georgia" w:cs="Arial"/>
          <w:bCs/>
          <w:sz w:val="20"/>
          <w:szCs w:val="20"/>
        </w:rPr>
        <w:t xml:space="preserve">immediate</w:t>
      </w:r>
      <w:r>
        <w:rPr>
          <w:rFonts w:ascii="Georgia" w:hAnsi="Georgia" w:cs="Arial"/>
          <w:bCs/>
          <w:sz w:val="20"/>
          <w:szCs w:val="20"/>
        </w:rPr>
        <w:t xml:space="preserve"> </w:t>
      </w:r>
      <w:r>
        <w:rPr>
          <w:rFonts w:ascii="Georgia" w:hAnsi="Georgia" w:cs="Arial"/>
          <w:bCs/>
          <w:sz w:val="20"/>
          <w:szCs w:val="20"/>
        </w:rPr>
        <w:t xml:space="preserve">region</w:t>
      </w:r>
      <w:r>
        <w:rPr>
          <w:rFonts w:ascii="Georgia" w:hAnsi="Georgia" w:cs="Arial"/>
          <w:bCs/>
          <w:sz w:val="20"/>
          <w:szCs w:val="20"/>
        </w:rPr>
        <w:t xml:space="preserve">, </w:t>
      </w:r>
      <w:r>
        <w:rPr>
          <w:rFonts w:ascii="Georgia" w:hAnsi="Georgia" w:cs="Arial"/>
          <w:bCs/>
          <w:sz w:val="20"/>
          <w:szCs w:val="20"/>
        </w:rPr>
        <w:t xml:space="preserve">urban</w:t>
      </w:r>
      <w:r>
        <w:rPr>
          <w:rFonts w:ascii="Georgia" w:hAnsi="Georgia" w:cs="Arial"/>
          <w:bCs/>
          <w:sz w:val="20"/>
          <w:szCs w:val="20"/>
        </w:rPr>
        <w:t xml:space="preserve"> network, </w:t>
      </w:r>
      <w:r>
        <w:rPr>
          <w:rFonts w:ascii="Georgia" w:hAnsi="Georgia" w:cs="Arial"/>
          <w:bCs/>
          <w:sz w:val="20"/>
          <w:szCs w:val="20"/>
        </w:rPr>
        <w:t xml:space="preserve">spatial</w:t>
      </w:r>
      <w:r>
        <w:rPr>
          <w:rFonts w:ascii="Georgia" w:hAnsi="Georgia" w:cs="Arial"/>
          <w:bCs/>
          <w:sz w:val="20"/>
          <w:szCs w:val="20"/>
        </w:rPr>
        <w:t xml:space="preserve"> </w:t>
      </w:r>
      <w:r>
        <w:rPr>
          <w:rFonts w:ascii="Georgia" w:hAnsi="Georgia" w:cs="Arial"/>
          <w:bCs/>
          <w:sz w:val="20"/>
          <w:szCs w:val="20"/>
        </w:rPr>
        <w:t xml:space="preserve">polarization</w:t>
      </w:r>
      <w:r>
        <w:rPr>
          <w:rFonts w:ascii="Georgia" w:hAnsi="Georgia" w:cs="Arial"/>
          <w:bCs/>
          <w:sz w:val="20"/>
          <w:szCs w:val="20"/>
        </w:rPr>
        <w:t xml:space="preserve">, </w:t>
      </w:r>
      <w:r>
        <w:rPr>
          <w:rFonts w:ascii="Georgia" w:hAnsi="Georgia" w:cs="Arial"/>
          <w:bCs/>
          <w:sz w:val="20"/>
          <w:szCs w:val="20"/>
        </w:rPr>
        <w:t xml:space="preserve">centrality</w:t>
      </w:r>
      <w:r>
        <w:rPr>
          <w:rFonts w:ascii="Georgia" w:hAnsi="Georgia" w:cs="Arial"/>
          <w:bCs/>
          <w:sz w:val="20"/>
          <w:szCs w:val="20"/>
        </w:rPr>
        <w:t xml:space="preserve">.</w:t>
      </w:r>
      <w:r>
        <w:rPr>
          <w:rFonts w:ascii="Georgia" w:hAnsi="Georgia"/>
          <w:b/>
          <w:bCs/>
        </w:rPr>
      </w:r>
    </w:p>
    <w:p w14:paraId="730B9620" w14:textId="1E8B42C9">
      <w:pPr>
        <w:pBdr/>
        <w:spacing/>
        <w:ind/>
        <w:jc w:val="both"/>
        <w:rPr>
          <w:rFonts w:ascii="Georgia" w:hAnsi="Georgia"/>
          <w:sz w:val="20"/>
          <w:szCs w:val="20"/>
        </w:rPr>
      </w:pPr>
      <w:r>
        <w:rPr>
          <w:rFonts w:ascii="Georgia" w:hAnsi="Georgia"/>
          <w:sz w:val="20"/>
          <w:szCs w:val="20"/>
        </w:rPr>
      </w:r>
      <w:r>
        <w:rPr>
          <w:rFonts w:ascii="Georgia" w:hAnsi="Georgia"/>
          <w:sz w:val="20"/>
          <w:szCs w:val="20"/>
        </w:rPr>
      </w:r>
    </w:p>
    <w:p w14:paraId="5F8DE7EB" w14:textId="62070679">
      <w:pPr>
        <w:pBdr/>
        <w:spacing/>
        <w:ind/>
        <w:jc w:val="both"/>
        <w:rPr>
          <w:rFonts w:ascii="Georgia" w:hAnsi="Georgia"/>
          <w:sz w:val="20"/>
          <w:szCs w:val="20"/>
        </w:rPr>
      </w:pPr>
      <w:r>
        <w:rPr>
          <w:rFonts w:ascii="Georgia" w:hAnsi="Georgia"/>
          <w:sz w:val="20"/>
          <w:szCs w:val="20"/>
        </w:rPr>
      </w:r>
      <w:r>
        <w:rPr>
          <w:rFonts w:ascii="Georgia" w:hAnsi="Georgia"/>
          <w:sz w:val="20"/>
          <w:szCs w:val="20"/>
        </w:rPr>
      </w:r>
    </w:p>
    <w:p w14:paraId="4113A5DA" w14:textId="77777777">
      <w:pPr>
        <w:pBdr/>
        <w:spacing/>
        <w:ind/>
        <w:jc w:val="both"/>
        <w:rPr>
          <w:rFonts w:ascii="Georgia" w:hAnsi="Georgia"/>
          <w:sz w:val="20"/>
          <w:szCs w:val="20"/>
        </w:rPr>
      </w:pPr>
      <w:r>
        <w:rPr>
          <w:rFonts w:ascii="Georgia" w:hAnsi="Georgia"/>
          <w:sz w:val="20"/>
          <w:szCs w:val="20"/>
        </w:rPr>
      </w:r>
      <w:r>
        <w:rPr>
          <w:rFonts w:ascii="Georgia" w:hAnsi="Georgia"/>
          <w:sz w:val="20"/>
          <w:szCs w:val="20"/>
        </w:rPr>
      </w:r>
    </w:p>
    <w:p w14:paraId="2CCFB0B5" w14:textId="77777777">
      <w:pPr>
        <w:pBdr/>
        <w:spacing w:after="120" w:line="240" w:lineRule="auto"/>
        <w:ind/>
        <w:rPr>
          <w:rFonts w:ascii="Georgia" w:hAnsi="Georgia"/>
          <w:b/>
          <w:bCs/>
        </w:rPr>
      </w:pPr>
      <w:r>
        <w:rPr>
          <w:rFonts w:ascii="Georgia" w:hAnsi="Georgia"/>
          <w:b/>
          <w:bCs/>
        </w:rPr>
        <w:t xml:space="preserve">Resumen</w:t>
      </w:r>
      <w:r>
        <w:rPr>
          <w:rFonts w:ascii="Georgia" w:hAnsi="Georgia"/>
          <w:b/>
          <w:bCs/>
        </w:rPr>
        <w:t xml:space="preserve"> </w:t>
      </w:r>
      <w:r>
        <w:rPr>
          <w:rFonts w:ascii="Georgia" w:hAnsi="Georgia"/>
          <w:b/>
          <w:bCs/>
        </w:rPr>
      </w:r>
    </w:p>
    <w:p w14:paraId="36BAD750" w14:textId="1DD7AECB">
      <w:pPr>
        <w:pBdr/>
        <w:spacing w:after="120" w:line="240" w:lineRule="auto"/>
        <w:ind/>
        <w:jc w:val="both"/>
        <w:rPr>
          <w:rFonts w:ascii="Georgia" w:hAnsi="Georgia"/>
          <w:sz w:val="20"/>
          <w:szCs w:val="20"/>
        </w:rPr>
      </w:pPr>
      <w:r>
        <w:rPr>
          <w:rFonts w:ascii="Georgia" w:hAnsi="Georgia"/>
          <w:sz w:val="20"/>
          <w:szCs w:val="20"/>
        </w:rPr>
        <w:t xml:space="preserve">El </w:t>
      </w:r>
      <w:r>
        <w:rPr>
          <w:rFonts w:ascii="Georgia" w:hAnsi="Georgia"/>
          <w:sz w:val="20"/>
          <w:szCs w:val="20"/>
        </w:rPr>
        <w:t xml:space="preserve">municipio</w:t>
      </w:r>
      <w:r>
        <w:rPr>
          <w:rFonts w:ascii="Georgia" w:hAnsi="Georgia"/>
          <w:sz w:val="20"/>
          <w:szCs w:val="20"/>
        </w:rPr>
        <w:t xml:space="preserve"> de Alfenas </w:t>
      </w:r>
      <w:r>
        <w:rPr>
          <w:rFonts w:ascii="Georgia" w:hAnsi="Georgia"/>
          <w:sz w:val="20"/>
          <w:szCs w:val="20"/>
        </w:rPr>
        <w:t xml:space="preserve">tiene</w:t>
      </w:r>
      <w:r>
        <w:rPr>
          <w:rFonts w:ascii="Georgia" w:hAnsi="Georgia"/>
          <w:sz w:val="20"/>
          <w:szCs w:val="20"/>
        </w:rPr>
        <w:t xml:space="preserve"> una </w:t>
      </w:r>
      <w:r>
        <w:rPr>
          <w:rFonts w:ascii="Georgia" w:hAnsi="Georgia"/>
          <w:sz w:val="20"/>
          <w:szCs w:val="20"/>
        </w:rPr>
        <w:t xml:space="preserve">población</w:t>
      </w:r>
      <w:r>
        <w:rPr>
          <w:rFonts w:ascii="Georgia" w:hAnsi="Georgia"/>
          <w:sz w:val="20"/>
          <w:szCs w:val="20"/>
        </w:rPr>
        <w:t xml:space="preserve"> total de 78.970 habitantes (IBGE, 2024). Se localiza </w:t>
      </w:r>
      <w:r>
        <w:rPr>
          <w:rFonts w:ascii="Georgia" w:hAnsi="Georgia"/>
          <w:sz w:val="20"/>
          <w:szCs w:val="20"/>
        </w:rPr>
        <w:t xml:space="preserve">en</w:t>
      </w:r>
      <w:r>
        <w:rPr>
          <w:rFonts w:ascii="Georgia" w:hAnsi="Georgia"/>
          <w:sz w:val="20"/>
          <w:szCs w:val="20"/>
        </w:rPr>
        <w:t xml:space="preserve"> </w:t>
      </w:r>
      <w:r>
        <w:rPr>
          <w:rFonts w:ascii="Georgia" w:hAnsi="Georgia"/>
          <w:sz w:val="20"/>
          <w:szCs w:val="20"/>
        </w:rPr>
        <w:t xml:space="preserve">la</w:t>
      </w:r>
      <w:r>
        <w:rPr>
          <w:rFonts w:ascii="Georgia" w:hAnsi="Georgia"/>
          <w:sz w:val="20"/>
          <w:szCs w:val="20"/>
        </w:rPr>
        <w:t xml:space="preserve"> </w:t>
      </w:r>
      <w:r>
        <w:rPr>
          <w:rFonts w:ascii="Georgia" w:hAnsi="Georgia"/>
          <w:sz w:val="20"/>
          <w:szCs w:val="20"/>
        </w:rPr>
        <w:t xml:space="preserve">Región</w:t>
      </w:r>
      <w:r>
        <w:rPr>
          <w:rFonts w:ascii="Georgia" w:hAnsi="Georgia"/>
          <w:sz w:val="20"/>
          <w:szCs w:val="20"/>
        </w:rPr>
        <w:t xml:space="preserve"> Geográfica Intermedia de Varginha, donde forma parte de </w:t>
      </w:r>
      <w:r>
        <w:rPr>
          <w:rFonts w:ascii="Georgia" w:hAnsi="Georgia"/>
          <w:sz w:val="20"/>
          <w:szCs w:val="20"/>
        </w:rPr>
        <w:t xml:space="preserve">la</w:t>
      </w:r>
      <w:r>
        <w:rPr>
          <w:rFonts w:ascii="Georgia" w:hAnsi="Georgia"/>
          <w:sz w:val="20"/>
          <w:szCs w:val="20"/>
        </w:rPr>
        <w:t xml:space="preserve"> </w:t>
      </w:r>
      <w:r>
        <w:rPr>
          <w:rFonts w:ascii="Georgia" w:hAnsi="Georgia"/>
          <w:sz w:val="20"/>
          <w:szCs w:val="20"/>
        </w:rPr>
        <w:t xml:space="preserve">Región</w:t>
      </w:r>
      <w:r>
        <w:rPr>
          <w:rFonts w:ascii="Georgia" w:hAnsi="Georgia"/>
          <w:sz w:val="20"/>
          <w:szCs w:val="20"/>
        </w:rPr>
        <w:t xml:space="preserve"> Geográfica </w:t>
      </w:r>
      <w:r>
        <w:rPr>
          <w:rFonts w:ascii="Georgia" w:hAnsi="Georgia"/>
          <w:sz w:val="20"/>
          <w:szCs w:val="20"/>
        </w:rPr>
        <w:t xml:space="preserve">Inmediata</w:t>
      </w:r>
      <w:r>
        <w:rPr>
          <w:rFonts w:ascii="Georgia" w:hAnsi="Georgia"/>
          <w:sz w:val="20"/>
          <w:szCs w:val="20"/>
        </w:rPr>
        <w:t xml:space="preserve"> de Alfenas, que polariza 12 </w:t>
      </w:r>
      <w:r>
        <w:rPr>
          <w:rFonts w:ascii="Georgia" w:hAnsi="Georgia"/>
          <w:sz w:val="20"/>
          <w:szCs w:val="20"/>
        </w:rPr>
        <w:t xml:space="preserve">municipios</w:t>
      </w:r>
      <w:r>
        <w:rPr>
          <w:rFonts w:ascii="Georgia" w:hAnsi="Georgia"/>
          <w:sz w:val="20"/>
          <w:szCs w:val="20"/>
        </w:rPr>
        <w:t xml:space="preserve">. La </w:t>
      </w:r>
      <w:r>
        <w:rPr>
          <w:rFonts w:ascii="Georgia" w:hAnsi="Georgia"/>
          <w:sz w:val="20"/>
          <w:szCs w:val="20"/>
        </w:rPr>
        <w:t xml:space="preserve">ciudad</w:t>
      </w:r>
      <w:r>
        <w:rPr>
          <w:rFonts w:ascii="Georgia" w:hAnsi="Georgia"/>
          <w:sz w:val="20"/>
          <w:szCs w:val="20"/>
        </w:rPr>
        <w:t xml:space="preserve"> se destaca como </w:t>
      </w:r>
      <w:r>
        <w:rPr>
          <w:rFonts w:ascii="Georgia" w:hAnsi="Georgia"/>
          <w:sz w:val="20"/>
          <w:szCs w:val="20"/>
        </w:rPr>
        <w:t xml:space="preserve">un</w:t>
      </w:r>
      <w:r>
        <w:rPr>
          <w:rFonts w:ascii="Georgia" w:hAnsi="Georgia"/>
          <w:sz w:val="20"/>
          <w:szCs w:val="20"/>
        </w:rPr>
        <w:t xml:space="preserve"> polo de comercio y </w:t>
      </w:r>
      <w:r>
        <w:rPr>
          <w:rFonts w:ascii="Georgia" w:hAnsi="Georgia"/>
          <w:sz w:val="20"/>
          <w:szCs w:val="20"/>
        </w:rPr>
        <w:t xml:space="preserve">servicios</w:t>
      </w:r>
      <w:r>
        <w:rPr>
          <w:rFonts w:ascii="Georgia" w:hAnsi="Georgia"/>
          <w:sz w:val="20"/>
          <w:szCs w:val="20"/>
        </w:rPr>
        <w:t xml:space="preserve"> para </w:t>
      </w:r>
      <w:r>
        <w:rPr>
          <w:rFonts w:ascii="Georgia" w:hAnsi="Georgia"/>
          <w:sz w:val="20"/>
          <w:szCs w:val="20"/>
        </w:rPr>
        <w:t xml:space="preserve">las</w:t>
      </w:r>
      <w:r>
        <w:rPr>
          <w:rFonts w:ascii="Georgia" w:hAnsi="Georgia"/>
          <w:sz w:val="20"/>
          <w:szCs w:val="20"/>
        </w:rPr>
        <w:t xml:space="preserve"> </w:t>
      </w:r>
      <w:r>
        <w:rPr>
          <w:rFonts w:ascii="Georgia" w:hAnsi="Georgia"/>
          <w:sz w:val="20"/>
          <w:szCs w:val="20"/>
        </w:rPr>
        <w:t xml:space="preserve">pequeñas</w:t>
      </w:r>
      <w:r>
        <w:rPr>
          <w:rFonts w:ascii="Georgia" w:hAnsi="Georgia"/>
          <w:sz w:val="20"/>
          <w:szCs w:val="20"/>
        </w:rPr>
        <w:t xml:space="preserve"> </w:t>
      </w:r>
      <w:r>
        <w:rPr>
          <w:rFonts w:ascii="Georgia" w:hAnsi="Georgia"/>
          <w:sz w:val="20"/>
          <w:szCs w:val="20"/>
        </w:rPr>
        <w:t xml:space="preserve">ciudades</w:t>
      </w:r>
      <w:r>
        <w:rPr>
          <w:rFonts w:ascii="Georgia" w:hAnsi="Georgia"/>
          <w:sz w:val="20"/>
          <w:szCs w:val="20"/>
        </w:rPr>
        <w:t xml:space="preserve"> </w:t>
      </w:r>
      <w:r>
        <w:rPr>
          <w:rFonts w:ascii="Georgia" w:hAnsi="Georgia"/>
          <w:sz w:val="20"/>
          <w:szCs w:val="20"/>
        </w:rPr>
        <w:t xml:space="preserve">vecinas</w:t>
      </w:r>
      <w:r>
        <w:rPr>
          <w:rFonts w:ascii="Georgia" w:hAnsi="Georgia"/>
          <w:sz w:val="20"/>
          <w:szCs w:val="20"/>
        </w:rPr>
        <w:t xml:space="preserve">, </w:t>
      </w:r>
      <w:r>
        <w:rPr>
          <w:rFonts w:ascii="Georgia" w:hAnsi="Georgia"/>
          <w:sz w:val="20"/>
          <w:szCs w:val="20"/>
        </w:rPr>
        <w:t xml:space="preserve">siendo</w:t>
      </w:r>
      <w:r>
        <w:rPr>
          <w:rFonts w:ascii="Georgia" w:hAnsi="Georgia"/>
          <w:sz w:val="20"/>
          <w:szCs w:val="20"/>
        </w:rPr>
        <w:t xml:space="preserve"> una </w:t>
      </w:r>
      <w:r>
        <w:rPr>
          <w:rFonts w:ascii="Georgia" w:hAnsi="Georgia"/>
          <w:sz w:val="20"/>
          <w:szCs w:val="20"/>
        </w:rPr>
        <w:t xml:space="preserve">referencia</w:t>
      </w:r>
      <w:r>
        <w:rPr>
          <w:rFonts w:ascii="Georgia" w:hAnsi="Georgia"/>
          <w:sz w:val="20"/>
          <w:szCs w:val="20"/>
        </w:rPr>
        <w:t xml:space="preserve"> </w:t>
      </w:r>
      <w:r>
        <w:rPr>
          <w:rFonts w:ascii="Georgia" w:hAnsi="Georgia"/>
          <w:sz w:val="20"/>
          <w:szCs w:val="20"/>
        </w:rPr>
        <w:t xml:space="preserve">en</w:t>
      </w:r>
      <w:r>
        <w:rPr>
          <w:rFonts w:ascii="Georgia" w:hAnsi="Georgia"/>
          <w:sz w:val="20"/>
          <w:szCs w:val="20"/>
        </w:rPr>
        <w:t xml:space="preserve"> </w:t>
      </w:r>
      <w:r>
        <w:rPr>
          <w:rFonts w:ascii="Georgia" w:hAnsi="Georgia"/>
          <w:sz w:val="20"/>
          <w:szCs w:val="20"/>
        </w:rPr>
        <w:t xml:space="preserve">los</w:t>
      </w:r>
      <w:r>
        <w:rPr>
          <w:rFonts w:ascii="Georgia" w:hAnsi="Georgia"/>
          <w:sz w:val="20"/>
          <w:szCs w:val="20"/>
        </w:rPr>
        <w:t xml:space="preserve"> sectores médico-</w:t>
      </w:r>
      <w:r>
        <w:rPr>
          <w:rFonts w:ascii="Georgia" w:hAnsi="Georgia"/>
          <w:sz w:val="20"/>
          <w:szCs w:val="20"/>
        </w:rPr>
        <w:t xml:space="preserve">hospitalario</w:t>
      </w:r>
      <w:r>
        <w:rPr>
          <w:rFonts w:ascii="Georgia" w:hAnsi="Georgia"/>
          <w:sz w:val="20"/>
          <w:szCs w:val="20"/>
        </w:rPr>
        <w:t xml:space="preserve"> y de </w:t>
      </w:r>
      <w:r>
        <w:rPr>
          <w:rFonts w:ascii="Georgia" w:hAnsi="Georgia"/>
          <w:sz w:val="20"/>
          <w:szCs w:val="20"/>
        </w:rPr>
        <w:t xml:space="preserve">educación</w:t>
      </w:r>
      <w:r>
        <w:rPr>
          <w:rFonts w:ascii="Georgia" w:hAnsi="Georgia"/>
          <w:sz w:val="20"/>
          <w:szCs w:val="20"/>
        </w:rPr>
        <w:t xml:space="preserve"> superior, </w:t>
      </w:r>
      <w:r>
        <w:rPr>
          <w:rFonts w:ascii="Georgia" w:hAnsi="Georgia"/>
          <w:sz w:val="20"/>
          <w:szCs w:val="20"/>
        </w:rPr>
        <w:t xml:space="preserve">lo</w:t>
      </w:r>
      <w:r>
        <w:rPr>
          <w:rFonts w:ascii="Georgia" w:hAnsi="Georgia"/>
          <w:sz w:val="20"/>
          <w:szCs w:val="20"/>
        </w:rPr>
        <w:t xml:space="preserve"> que </w:t>
      </w:r>
      <w:r>
        <w:rPr>
          <w:rFonts w:ascii="Georgia" w:hAnsi="Georgia"/>
          <w:sz w:val="20"/>
          <w:szCs w:val="20"/>
        </w:rPr>
        <w:t xml:space="preserve">la</w:t>
      </w:r>
      <w:r>
        <w:rPr>
          <w:rFonts w:ascii="Georgia" w:hAnsi="Georgia"/>
          <w:sz w:val="20"/>
          <w:szCs w:val="20"/>
        </w:rPr>
        <w:t xml:space="preserve"> </w:t>
      </w:r>
      <w:r>
        <w:rPr>
          <w:rFonts w:ascii="Georgia" w:hAnsi="Georgia"/>
          <w:sz w:val="20"/>
          <w:szCs w:val="20"/>
        </w:rPr>
        <w:t xml:space="preserve">ha</w:t>
      </w:r>
      <w:r>
        <w:rPr>
          <w:rFonts w:ascii="Georgia" w:hAnsi="Georgia"/>
          <w:sz w:val="20"/>
          <w:szCs w:val="20"/>
        </w:rPr>
        <w:t xml:space="preserve"> consolidado como </w:t>
      </w:r>
      <w:r>
        <w:rPr>
          <w:rFonts w:ascii="Georgia" w:hAnsi="Georgia"/>
          <w:sz w:val="20"/>
          <w:szCs w:val="20"/>
        </w:rPr>
        <w:t xml:space="preserve">un</w:t>
      </w:r>
      <w:r>
        <w:rPr>
          <w:rFonts w:ascii="Georgia" w:hAnsi="Georgia"/>
          <w:sz w:val="20"/>
          <w:szCs w:val="20"/>
        </w:rPr>
        <w:t xml:space="preserve"> centro </w:t>
      </w:r>
      <w:r>
        <w:rPr>
          <w:rFonts w:ascii="Georgia" w:hAnsi="Georgia"/>
          <w:sz w:val="20"/>
          <w:szCs w:val="20"/>
        </w:rPr>
        <w:t xml:space="preserve">subregional</w:t>
      </w:r>
      <w:r>
        <w:rPr>
          <w:rFonts w:ascii="Georgia" w:hAnsi="Georgia"/>
          <w:sz w:val="20"/>
          <w:szCs w:val="20"/>
        </w:rPr>
        <w:t xml:space="preserve"> </w:t>
      </w:r>
      <w:r>
        <w:rPr>
          <w:rFonts w:ascii="Georgia" w:hAnsi="Georgia"/>
          <w:sz w:val="20"/>
          <w:szCs w:val="20"/>
        </w:rPr>
        <w:t xml:space="preserve">en</w:t>
      </w:r>
      <w:r>
        <w:rPr>
          <w:rFonts w:ascii="Georgia" w:hAnsi="Georgia"/>
          <w:sz w:val="20"/>
          <w:szCs w:val="20"/>
        </w:rPr>
        <w:t xml:space="preserve"> </w:t>
      </w:r>
      <w:r>
        <w:rPr>
          <w:rFonts w:ascii="Georgia" w:hAnsi="Georgia"/>
          <w:sz w:val="20"/>
          <w:szCs w:val="20"/>
        </w:rPr>
        <w:t xml:space="preserve">el</w:t>
      </w:r>
      <w:r>
        <w:rPr>
          <w:rFonts w:ascii="Georgia" w:hAnsi="Georgia"/>
          <w:sz w:val="20"/>
          <w:szCs w:val="20"/>
        </w:rPr>
        <w:t xml:space="preserve"> </w:t>
      </w:r>
      <w:r>
        <w:rPr>
          <w:rFonts w:ascii="Georgia" w:hAnsi="Georgia"/>
          <w:sz w:val="20"/>
          <w:szCs w:val="20"/>
        </w:rPr>
        <w:t xml:space="preserve">sur</w:t>
      </w:r>
      <w:r>
        <w:rPr>
          <w:rFonts w:ascii="Georgia" w:hAnsi="Georgia"/>
          <w:sz w:val="20"/>
          <w:szCs w:val="20"/>
        </w:rPr>
        <w:t xml:space="preserve"> de Minas Gerais. Los </w:t>
      </w:r>
      <w:r>
        <w:rPr>
          <w:rFonts w:ascii="Georgia" w:hAnsi="Georgia"/>
          <w:sz w:val="20"/>
          <w:szCs w:val="20"/>
        </w:rPr>
        <w:t xml:space="preserve">principales</w:t>
      </w:r>
      <w:r>
        <w:rPr>
          <w:rFonts w:ascii="Georgia" w:hAnsi="Georgia"/>
          <w:sz w:val="20"/>
          <w:szCs w:val="20"/>
        </w:rPr>
        <w:t xml:space="preserve"> objetivos de esta </w:t>
      </w:r>
      <w:r>
        <w:rPr>
          <w:rFonts w:ascii="Georgia" w:hAnsi="Georgia"/>
          <w:sz w:val="20"/>
          <w:szCs w:val="20"/>
        </w:rPr>
        <w:t xml:space="preserve">investigación</w:t>
      </w:r>
      <w:r>
        <w:rPr>
          <w:rFonts w:ascii="Georgia" w:hAnsi="Georgia"/>
          <w:sz w:val="20"/>
          <w:szCs w:val="20"/>
        </w:rPr>
        <w:t xml:space="preserve"> </w:t>
      </w:r>
      <w:r>
        <w:rPr>
          <w:rFonts w:ascii="Georgia" w:hAnsi="Georgia"/>
          <w:sz w:val="20"/>
          <w:szCs w:val="20"/>
        </w:rPr>
        <w:t xml:space="preserve">son</w:t>
      </w:r>
      <w:r>
        <w:rPr>
          <w:rFonts w:ascii="Georgia" w:hAnsi="Georgia"/>
          <w:sz w:val="20"/>
          <w:szCs w:val="20"/>
        </w:rPr>
        <w:t xml:space="preserve"> </w:t>
      </w:r>
      <w:r>
        <w:rPr>
          <w:rFonts w:ascii="Georgia" w:hAnsi="Georgia"/>
          <w:sz w:val="20"/>
          <w:szCs w:val="20"/>
        </w:rPr>
        <w:t xml:space="preserve">comprender</w:t>
      </w:r>
      <w:r>
        <w:rPr>
          <w:rFonts w:ascii="Georgia" w:hAnsi="Georgia"/>
          <w:sz w:val="20"/>
          <w:szCs w:val="20"/>
        </w:rPr>
        <w:t xml:space="preserve"> </w:t>
      </w:r>
      <w:r>
        <w:rPr>
          <w:rFonts w:ascii="Georgia" w:hAnsi="Georgia"/>
          <w:sz w:val="20"/>
          <w:szCs w:val="20"/>
        </w:rPr>
        <w:t xml:space="preserve">cómo</w:t>
      </w:r>
      <w:r>
        <w:rPr>
          <w:rFonts w:ascii="Georgia" w:hAnsi="Georgia"/>
          <w:sz w:val="20"/>
          <w:szCs w:val="20"/>
        </w:rPr>
        <w:t xml:space="preserve"> se </w:t>
      </w:r>
      <w:r>
        <w:rPr>
          <w:rFonts w:ascii="Georgia" w:hAnsi="Georgia"/>
          <w:sz w:val="20"/>
          <w:szCs w:val="20"/>
        </w:rPr>
        <w:t xml:space="preserve">formó</w:t>
      </w:r>
      <w:r>
        <w:rPr>
          <w:rFonts w:ascii="Georgia" w:hAnsi="Georgia"/>
          <w:sz w:val="20"/>
          <w:szCs w:val="20"/>
        </w:rPr>
        <w:t xml:space="preserve"> </w:t>
      </w:r>
      <w:r>
        <w:rPr>
          <w:rFonts w:ascii="Georgia" w:hAnsi="Georgia"/>
          <w:sz w:val="20"/>
          <w:szCs w:val="20"/>
        </w:rPr>
        <w:t xml:space="preserve">la</w:t>
      </w:r>
      <w:r>
        <w:rPr>
          <w:rFonts w:ascii="Georgia" w:hAnsi="Georgia"/>
          <w:sz w:val="20"/>
          <w:szCs w:val="20"/>
        </w:rPr>
        <w:t xml:space="preserve"> </w:t>
      </w:r>
      <w:r>
        <w:rPr>
          <w:rFonts w:ascii="Georgia" w:hAnsi="Georgia"/>
          <w:sz w:val="20"/>
          <w:szCs w:val="20"/>
        </w:rPr>
        <w:t xml:space="preserve">red</w:t>
      </w:r>
      <w:r>
        <w:rPr>
          <w:rFonts w:ascii="Georgia" w:hAnsi="Georgia"/>
          <w:sz w:val="20"/>
          <w:szCs w:val="20"/>
        </w:rPr>
        <w:t xml:space="preserve"> urbana </w:t>
      </w:r>
      <w:r>
        <w:rPr>
          <w:rFonts w:ascii="Georgia" w:hAnsi="Georgia"/>
          <w:sz w:val="20"/>
          <w:szCs w:val="20"/>
        </w:rPr>
        <w:t xml:space="preserve">en</w:t>
      </w:r>
      <w:r>
        <w:rPr>
          <w:rFonts w:ascii="Georgia" w:hAnsi="Georgia"/>
          <w:sz w:val="20"/>
          <w:szCs w:val="20"/>
        </w:rPr>
        <w:t xml:space="preserve"> </w:t>
      </w:r>
      <w:r>
        <w:rPr>
          <w:rFonts w:ascii="Georgia" w:hAnsi="Georgia"/>
          <w:sz w:val="20"/>
          <w:szCs w:val="20"/>
        </w:rPr>
        <w:t xml:space="preserve">el</w:t>
      </w:r>
      <w:r>
        <w:rPr>
          <w:rFonts w:ascii="Georgia" w:hAnsi="Georgia"/>
          <w:sz w:val="20"/>
          <w:szCs w:val="20"/>
        </w:rPr>
        <w:t xml:space="preserve"> </w:t>
      </w:r>
      <w:r>
        <w:rPr>
          <w:rFonts w:ascii="Georgia" w:hAnsi="Georgia"/>
          <w:sz w:val="20"/>
          <w:szCs w:val="20"/>
        </w:rPr>
        <w:t xml:space="preserve">sur</w:t>
      </w:r>
      <w:r>
        <w:rPr>
          <w:rFonts w:ascii="Georgia" w:hAnsi="Georgia"/>
          <w:sz w:val="20"/>
          <w:szCs w:val="20"/>
        </w:rPr>
        <w:t xml:space="preserve"> de Minas, </w:t>
      </w:r>
      <w:r>
        <w:rPr>
          <w:rFonts w:ascii="Georgia" w:hAnsi="Georgia"/>
          <w:sz w:val="20"/>
          <w:szCs w:val="20"/>
        </w:rPr>
        <w:t xml:space="preserve">con</w:t>
      </w:r>
      <w:r>
        <w:rPr>
          <w:rFonts w:ascii="Georgia" w:hAnsi="Georgia"/>
          <w:sz w:val="20"/>
          <w:szCs w:val="20"/>
        </w:rPr>
        <w:t xml:space="preserve"> </w:t>
      </w:r>
      <w:r>
        <w:rPr>
          <w:rFonts w:ascii="Georgia" w:hAnsi="Georgia"/>
          <w:sz w:val="20"/>
          <w:szCs w:val="20"/>
        </w:rPr>
        <w:t xml:space="preserve">énfasis</w:t>
      </w:r>
      <w:r>
        <w:rPr>
          <w:rFonts w:ascii="Georgia" w:hAnsi="Georgia"/>
          <w:sz w:val="20"/>
          <w:szCs w:val="20"/>
        </w:rPr>
        <w:t xml:space="preserve"> </w:t>
      </w:r>
      <w:r>
        <w:rPr>
          <w:rFonts w:ascii="Georgia" w:hAnsi="Georgia"/>
          <w:sz w:val="20"/>
          <w:szCs w:val="20"/>
        </w:rPr>
        <w:t xml:space="preserve">en</w:t>
      </w:r>
      <w:r>
        <w:rPr>
          <w:rFonts w:ascii="Georgia" w:hAnsi="Georgia"/>
          <w:sz w:val="20"/>
          <w:szCs w:val="20"/>
        </w:rPr>
        <w:t xml:space="preserve"> </w:t>
      </w:r>
      <w:r>
        <w:rPr>
          <w:rFonts w:ascii="Georgia" w:hAnsi="Georgia"/>
          <w:sz w:val="20"/>
          <w:szCs w:val="20"/>
        </w:rPr>
        <w:t xml:space="preserve">la</w:t>
      </w:r>
      <w:r>
        <w:rPr>
          <w:rFonts w:ascii="Georgia" w:hAnsi="Georgia"/>
          <w:sz w:val="20"/>
          <w:szCs w:val="20"/>
        </w:rPr>
        <w:t xml:space="preserve"> </w:t>
      </w:r>
      <w:r>
        <w:rPr>
          <w:rFonts w:ascii="Georgia" w:hAnsi="Georgia"/>
          <w:sz w:val="20"/>
          <w:szCs w:val="20"/>
        </w:rPr>
        <w:t xml:space="preserve">Región</w:t>
      </w:r>
      <w:r>
        <w:rPr>
          <w:rFonts w:ascii="Georgia" w:hAnsi="Georgia"/>
          <w:sz w:val="20"/>
          <w:szCs w:val="20"/>
        </w:rPr>
        <w:t xml:space="preserve"> </w:t>
      </w:r>
      <w:r>
        <w:rPr>
          <w:rFonts w:ascii="Georgia" w:hAnsi="Georgia"/>
          <w:sz w:val="20"/>
          <w:szCs w:val="20"/>
        </w:rPr>
        <w:t xml:space="preserve">Inmediata</w:t>
      </w:r>
      <w:r>
        <w:rPr>
          <w:rFonts w:ascii="Georgia" w:hAnsi="Georgia"/>
          <w:sz w:val="20"/>
          <w:szCs w:val="20"/>
        </w:rPr>
        <w:t xml:space="preserve"> de Alfenas, </w:t>
      </w:r>
      <w:r>
        <w:rPr>
          <w:rFonts w:ascii="Georgia" w:hAnsi="Georgia"/>
          <w:sz w:val="20"/>
          <w:szCs w:val="20"/>
        </w:rPr>
        <w:t xml:space="preserve">cómo</w:t>
      </w:r>
      <w:r>
        <w:rPr>
          <w:rFonts w:ascii="Georgia" w:hAnsi="Georgia"/>
          <w:sz w:val="20"/>
          <w:szCs w:val="20"/>
        </w:rPr>
        <w:t xml:space="preserve"> se </w:t>
      </w:r>
      <w:r>
        <w:rPr>
          <w:rFonts w:ascii="Georgia" w:hAnsi="Georgia"/>
          <w:sz w:val="20"/>
          <w:szCs w:val="20"/>
        </w:rPr>
        <w:t xml:space="preserve">transformó</w:t>
      </w:r>
      <w:r>
        <w:rPr>
          <w:rFonts w:ascii="Georgia" w:hAnsi="Georgia"/>
          <w:sz w:val="20"/>
          <w:szCs w:val="20"/>
        </w:rPr>
        <w:t xml:space="preserve"> y </w:t>
      </w:r>
      <w:r>
        <w:rPr>
          <w:rFonts w:ascii="Georgia" w:hAnsi="Georgia"/>
          <w:sz w:val="20"/>
          <w:szCs w:val="20"/>
        </w:rPr>
        <w:t xml:space="preserve">qué</w:t>
      </w:r>
      <w:r>
        <w:rPr>
          <w:rFonts w:ascii="Georgia" w:hAnsi="Georgia"/>
          <w:sz w:val="20"/>
          <w:szCs w:val="20"/>
        </w:rPr>
        <w:t xml:space="preserve"> </w:t>
      </w:r>
      <w:r>
        <w:rPr>
          <w:rFonts w:ascii="Georgia" w:hAnsi="Georgia"/>
          <w:sz w:val="20"/>
          <w:szCs w:val="20"/>
        </w:rPr>
        <w:t xml:space="preserve">patrones</w:t>
      </w:r>
      <w:r>
        <w:rPr>
          <w:rFonts w:ascii="Georgia" w:hAnsi="Georgia"/>
          <w:sz w:val="20"/>
          <w:szCs w:val="20"/>
        </w:rPr>
        <w:t xml:space="preserve"> </w:t>
      </w:r>
      <w:r>
        <w:rPr>
          <w:rFonts w:ascii="Georgia" w:hAnsi="Georgia"/>
          <w:sz w:val="20"/>
          <w:szCs w:val="20"/>
        </w:rPr>
        <w:t xml:space="preserve">espaciales</w:t>
      </w:r>
      <w:r>
        <w:rPr>
          <w:rFonts w:ascii="Georgia" w:hAnsi="Georgia"/>
          <w:sz w:val="20"/>
          <w:szCs w:val="20"/>
        </w:rPr>
        <w:t xml:space="preserve"> </w:t>
      </w:r>
      <w:r>
        <w:rPr>
          <w:rFonts w:ascii="Georgia" w:hAnsi="Georgia"/>
          <w:sz w:val="20"/>
          <w:szCs w:val="20"/>
        </w:rPr>
        <w:t xml:space="preserve">adquirió</w:t>
      </w:r>
      <w:r>
        <w:rPr>
          <w:rFonts w:ascii="Georgia" w:hAnsi="Georgia"/>
          <w:sz w:val="20"/>
          <w:szCs w:val="20"/>
        </w:rPr>
        <w:t xml:space="preserve">, especialmente a partir de mediados </w:t>
      </w:r>
      <w:r>
        <w:rPr>
          <w:rFonts w:ascii="Georgia" w:hAnsi="Georgia"/>
          <w:sz w:val="20"/>
          <w:szCs w:val="20"/>
        </w:rPr>
        <w:t xml:space="preserve">del</w:t>
      </w:r>
      <w:r>
        <w:rPr>
          <w:rFonts w:ascii="Georgia" w:hAnsi="Georgia"/>
          <w:sz w:val="20"/>
          <w:szCs w:val="20"/>
        </w:rPr>
        <w:t xml:space="preserve"> </w:t>
      </w:r>
      <w:r>
        <w:rPr>
          <w:rFonts w:ascii="Georgia" w:hAnsi="Georgia"/>
          <w:sz w:val="20"/>
          <w:szCs w:val="20"/>
        </w:rPr>
        <w:t xml:space="preserve">siglo</w:t>
      </w:r>
      <w:r>
        <w:rPr>
          <w:rFonts w:ascii="Georgia" w:hAnsi="Georgia"/>
          <w:sz w:val="20"/>
          <w:szCs w:val="20"/>
        </w:rPr>
        <w:t xml:space="preserve"> XX, </w:t>
      </w:r>
      <w:r>
        <w:rPr>
          <w:rFonts w:ascii="Georgia" w:hAnsi="Georgia"/>
          <w:sz w:val="20"/>
          <w:szCs w:val="20"/>
        </w:rPr>
        <w:t xml:space="preserve">cuando</w:t>
      </w:r>
      <w:r>
        <w:rPr>
          <w:rFonts w:ascii="Georgia" w:hAnsi="Georgia"/>
          <w:sz w:val="20"/>
          <w:szCs w:val="20"/>
        </w:rPr>
        <w:t xml:space="preserve"> </w:t>
      </w:r>
      <w:r>
        <w:rPr>
          <w:rFonts w:ascii="Georgia" w:hAnsi="Georgia"/>
          <w:sz w:val="20"/>
          <w:szCs w:val="20"/>
        </w:rPr>
        <w:t xml:space="preserve">avanzaron</w:t>
      </w:r>
      <w:r>
        <w:rPr>
          <w:rFonts w:ascii="Georgia" w:hAnsi="Georgia"/>
          <w:sz w:val="20"/>
          <w:szCs w:val="20"/>
        </w:rPr>
        <w:t xml:space="preserve"> </w:t>
      </w:r>
      <w:r>
        <w:rPr>
          <w:rFonts w:ascii="Georgia" w:hAnsi="Georgia"/>
          <w:sz w:val="20"/>
          <w:szCs w:val="20"/>
        </w:rPr>
        <w:t xml:space="preserve">en</w:t>
      </w:r>
      <w:r>
        <w:rPr>
          <w:rFonts w:ascii="Georgia" w:hAnsi="Georgia"/>
          <w:sz w:val="20"/>
          <w:szCs w:val="20"/>
        </w:rPr>
        <w:t xml:space="preserve"> </w:t>
      </w:r>
      <w:r>
        <w:rPr>
          <w:rFonts w:ascii="Georgia" w:hAnsi="Georgia"/>
          <w:sz w:val="20"/>
          <w:szCs w:val="20"/>
        </w:rPr>
        <w:t xml:space="preserve">el</w:t>
      </w:r>
      <w:r>
        <w:rPr>
          <w:rFonts w:ascii="Georgia" w:hAnsi="Georgia"/>
          <w:sz w:val="20"/>
          <w:szCs w:val="20"/>
        </w:rPr>
        <w:t xml:space="preserve"> país </w:t>
      </w:r>
      <w:r>
        <w:rPr>
          <w:rFonts w:ascii="Georgia" w:hAnsi="Georgia"/>
          <w:sz w:val="20"/>
          <w:szCs w:val="20"/>
        </w:rPr>
        <w:t xml:space="preserve">los</w:t>
      </w:r>
      <w:r>
        <w:rPr>
          <w:rFonts w:ascii="Georgia" w:hAnsi="Georgia"/>
          <w:sz w:val="20"/>
          <w:szCs w:val="20"/>
        </w:rPr>
        <w:t xml:space="preserve"> </w:t>
      </w:r>
      <w:r>
        <w:rPr>
          <w:rFonts w:ascii="Georgia" w:hAnsi="Georgia"/>
          <w:sz w:val="20"/>
          <w:szCs w:val="20"/>
        </w:rPr>
        <w:t xml:space="preserve">procesos</w:t>
      </w:r>
      <w:r>
        <w:rPr>
          <w:rFonts w:ascii="Georgia" w:hAnsi="Georgia"/>
          <w:sz w:val="20"/>
          <w:szCs w:val="20"/>
        </w:rPr>
        <w:t xml:space="preserve"> de </w:t>
      </w:r>
      <w:r>
        <w:rPr>
          <w:rFonts w:ascii="Georgia" w:hAnsi="Georgia"/>
          <w:sz w:val="20"/>
          <w:szCs w:val="20"/>
        </w:rPr>
        <w:t xml:space="preserve">industrialización</w:t>
      </w:r>
      <w:r>
        <w:rPr>
          <w:rFonts w:ascii="Georgia" w:hAnsi="Georgia"/>
          <w:sz w:val="20"/>
          <w:szCs w:val="20"/>
        </w:rPr>
        <w:t xml:space="preserve"> y </w:t>
      </w:r>
      <w:r>
        <w:rPr>
          <w:rFonts w:ascii="Georgia" w:hAnsi="Georgia"/>
          <w:sz w:val="20"/>
          <w:szCs w:val="20"/>
        </w:rPr>
        <w:t xml:space="preserve">urbanización</w:t>
      </w:r>
      <w:r>
        <w:rPr>
          <w:rFonts w:ascii="Georgia" w:hAnsi="Georgia"/>
          <w:sz w:val="20"/>
          <w:szCs w:val="20"/>
        </w:rPr>
        <w:t xml:space="preserve">. También se considera </w:t>
      </w:r>
      <w:r>
        <w:rPr>
          <w:rFonts w:ascii="Georgia" w:hAnsi="Georgia"/>
          <w:sz w:val="20"/>
          <w:szCs w:val="20"/>
        </w:rPr>
        <w:t xml:space="preserve">la</w:t>
      </w:r>
      <w:r>
        <w:rPr>
          <w:rFonts w:ascii="Georgia" w:hAnsi="Georgia"/>
          <w:sz w:val="20"/>
          <w:szCs w:val="20"/>
        </w:rPr>
        <w:t xml:space="preserve"> </w:t>
      </w:r>
      <w:r>
        <w:rPr>
          <w:rFonts w:ascii="Georgia" w:hAnsi="Georgia"/>
          <w:sz w:val="20"/>
          <w:szCs w:val="20"/>
        </w:rPr>
        <w:t xml:space="preserve">articulación</w:t>
      </w:r>
      <w:r>
        <w:rPr>
          <w:rFonts w:ascii="Georgia" w:hAnsi="Georgia"/>
          <w:sz w:val="20"/>
          <w:szCs w:val="20"/>
        </w:rPr>
        <w:t xml:space="preserve"> de </w:t>
      </w:r>
      <w:r>
        <w:rPr>
          <w:rFonts w:ascii="Georgia" w:hAnsi="Georgia"/>
          <w:sz w:val="20"/>
          <w:szCs w:val="20"/>
        </w:rPr>
        <w:t xml:space="preserve">las</w:t>
      </w:r>
      <w:r>
        <w:rPr>
          <w:rFonts w:ascii="Georgia" w:hAnsi="Georgia"/>
          <w:sz w:val="20"/>
          <w:szCs w:val="20"/>
        </w:rPr>
        <w:t xml:space="preserve"> escalas regional e intraurbana </w:t>
      </w:r>
      <w:r>
        <w:rPr>
          <w:rFonts w:ascii="Georgia" w:hAnsi="Georgia"/>
          <w:sz w:val="20"/>
          <w:szCs w:val="20"/>
        </w:rPr>
        <w:t xml:space="preserve">en</w:t>
      </w:r>
      <w:r>
        <w:rPr>
          <w:rFonts w:ascii="Georgia" w:hAnsi="Georgia"/>
          <w:sz w:val="20"/>
          <w:szCs w:val="20"/>
        </w:rPr>
        <w:t xml:space="preserve"> </w:t>
      </w:r>
      <w:r>
        <w:rPr>
          <w:rFonts w:ascii="Georgia" w:hAnsi="Georgia"/>
          <w:sz w:val="20"/>
          <w:szCs w:val="20"/>
        </w:rPr>
        <w:t xml:space="preserve">el</w:t>
      </w:r>
      <w:r>
        <w:rPr>
          <w:rFonts w:ascii="Georgia" w:hAnsi="Georgia"/>
          <w:sz w:val="20"/>
          <w:szCs w:val="20"/>
        </w:rPr>
        <w:t xml:space="preserve"> caso de Alfenas y </w:t>
      </w:r>
      <w:r>
        <w:rPr>
          <w:rFonts w:ascii="Georgia" w:hAnsi="Georgia"/>
          <w:sz w:val="20"/>
          <w:szCs w:val="20"/>
        </w:rPr>
        <w:t xml:space="preserve">su</w:t>
      </w:r>
      <w:r>
        <w:rPr>
          <w:rFonts w:ascii="Georgia" w:hAnsi="Georgia"/>
          <w:sz w:val="20"/>
          <w:szCs w:val="20"/>
        </w:rPr>
        <w:t xml:space="preserve"> </w:t>
      </w:r>
      <w:r>
        <w:rPr>
          <w:rFonts w:ascii="Georgia" w:hAnsi="Georgia"/>
          <w:sz w:val="20"/>
          <w:szCs w:val="20"/>
        </w:rPr>
        <w:t xml:space="preserve">región</w:t>
      </w:r>
      <w:r>
        <w:rPr>
          <w:rFonts w:ascii="Georgia" w:hAnsi="Georgia"/>
          <w:sz w:val="20"/>
          <w:szCs w:val="20"/>
        </w:rPr>
        <w:t xml:space="preserve"> </w:t>
      </w:r>
      <w:r>
        <w:rPr>
          <w:rFonts w:ascii="Georgia" w:hAnsi="Georgia"/>
          <w:sz w:val="20"/>
          <w:szCs w:val="20"/>
        </w:rPr>
        <w:t xml:space="preserve">inmediata</w:t>
      </w:r>
      <w:r>
        <w:rPr>
          <w:rFonts w:ascii="Georgia" w:hAnsi="Georgia"/>
          <w:sz w:val="20"/>
          <w:szCs w:val="20"/>
        </w:rPr>
        <w:t xml:space="preserve">. Los </w:t>
      </w:r>
      <w:r>
        <w:rPr>
          <w:rFonts w:ascii="Georgia" w:hAnsi="Georgia"/>
          <w:sz w:val="20"/>
          <w:szCs w:val="20"/>
        </w:rPr>
        <w:t xml:space="preserve">procedimientos</w:t>
      </w:r>
      <w:r>
        <w:rPr>
          <w:rFonts w:ascii="Georgia" w:hAnsi="Georgia"/>
          <w:sz w:val="20"/>
          <w:szCs w:val="20"/>
        </w:rPr>
        <w:t xml:space="preserve"> metodológicos se </w:t>
      </w:r>
      <w:r>
        <w:rPr>
          <w:rFonts w:ascii="Georgia" w:hAnsi="Georgia"/>
          <w:sz w:val="20"/>
          <w:szCs w:val="20"/>
        </w:rPr>
        <w:t xml:space="preserve">apoyan</w:t>
      </w:r>
      <w:r>
        <w:rPr>
          <w:rFonts w:ascii="Georgia" w:hAnsi="Georgia"/>
          <w:sz w:val="20"/>
          <w:szCs w:val="20"/>
        </w:rPr>
        <w:t xml:space="preserve"> </w:t>
      </w:r>
      <w:r>
        <w:rPr>
          <w:rFonts w:ascii="Georgia" w:hAnsi="Georgia"/>
          <w:sz w:val="20"/>
          <w:szCs w:val="20"/>
        </w:rPr>
        <w:t xml:space="preserve">en</w:t>
      </w:r>
      <w:r>
        <w:rPr>
          <w:rFonts w:ascii="Georgia" w:hAnsi="Georgia"/>
          <w:sz w:val="20"/>
          <w:szCs w:val="20"/>
        </w:rPr>
        <w:t xml:space="preserve"> una </w:t>
      </w:r>
      <w:r>
        <w:rPr>
          <w:rFonts w:ascii="Georgia" w:hAnsi="Georgia"/>
          <w:sz w:val="20"/>
          <w:szCs w:val="20"/>
        </w:rPr>
        <w:t xml:space="preserve">investigación</w:t>
      </w:r>
      <w:r>
        <w:rPr>
          <w:rFonts w:ascii="Georgia" w:hAnsi="Georgia"/>
          <w:sz w:val="20"/>
          <w:szCs w:val="20"/>
        </w:rPr>
        <w:t xml:space="preserve"> bibliográfica </w:t>
      </w:r>
      <w:r>
        <w:rPr>
          <w:rFonts w:ascii="Georgia" w:hAnsi="Georgia"/>
          <w:sz w:val="20"/>
          <w:szCs w:val="20"/>
        </w:rPr>
        <w:t xml:space="preserve">basada</w:t>
      </w:r>
      <w:r>
        <w:rPr>
          <w:rFonts w:ascii="Georgia" w:hAnsi="Georgia"/>
          <w:sz w:val="20"/>
          <w:szCs w:val="20"/>
        </w:rPr>
        <w:t xml:space="preserve"> </w:t>
      </w:r>
      <w:r>
        <w:rPr>
          <w:rFonts w:ascii="Georgia" w:hAnsi="Georgia"/>
          <w:sz w:val="20"/>
          <w:szCs w:val="20"/>
        </w:rPr>
        <w:t xml:space="preserve">en</w:t>
      </w:r>
      <w:r>
        <w:rPr>
          <w:rFonts w:ascii="Georgia" w:hAnsi="Georgia"/>
          <w:sz w:val="20"/>
          <w:szCs w:val="20"/>
        </w:rPr>
        <w:t xml:space="preserve"> </w:t>
      </w:r>
      <w:r>
        <w:rPr>
          <w:rFonts w:ascii="Georgia" w:hAnsi="Georgia"/>
          <w:sz w:val="20"/>
          <w:szCs w:val="20"/>
        </w:rPr>
        <w:t xml:space="preserve">libros</w:t>
      </w:r>
      <w:r>
        <w:rPr>
          <w:rFonts w:ascii="Georgia" w:hAnsi="Georgia"/>
          <w:sz w:val="20"/>
          <w:szCs w:val="20"/>
        </w:rPr>
        <w:t xml:space="preserve">, artículos y </w:t>
      </w:r>
      <w:r>
        <w:rPr>
          <w:rFonts w:ascii="Georgia" w:hAnsi="Georgia"/>
          <w:sz w:val="20"/>
          <w:szCs w:val="20"/>
        </w:rPr>
        <w:t xml:space="preserve">tesis</w:t>
      </w:r>
      <w:r>
        <w:rPr>
          <w:rFonts w:ascii="Georgia" w:hAnsi="Georgia"/>
          <w:sz w:val="20"/>
          <w:szCs w:val="20"/>
        </w:rPr>
        <w:t xml:space="preserve"> relacionados más </w:t>
      </w:r>
      <w:r>
        <w:rPr>
          <w:rFonts w:ascii="Georgia" w:hAnsi="Georgia"/>
          <w:sz w:val="20"/>
          <w:szCs w:val="20"/>
        </w:rPr>
        <w:t xml:space="preserve">directamente</w:t>
      </w:r>
      <w:r>
        <w:rPr>
          <w:rFonts w:ascii="Georgia" w:hAnsi="Georgia"/>
          <w:sz w:val="20"/>
          <w:szCs w:val="20"/>
        </w:rPr>
        <w:t xml:space="preserve"> </w:t>
      </w:r>
      <w:r>
        <w:rPr>
          <w:rFonts w:ascii="Georgia" w:hAnsi="Georgia"/>
          <w:sz w:val="20"/>
          <w:szCs w:val="20"/>
        </w:rPr>
        <w:t xml:space="preserve">con</w:t>
      </w:r>
      <w:r>
        <w:rPr>
          <w:rFonts w:ascii="Georgia" w:hAnsi="Georgia"/>
          <w:sz w:val="20"/>
          <w:szCs w:val="20"/>
        </w:rPr>
        <w:t xml:space="preserve"> </w:t>
      </w:r>
      <w:r>
        <w:rPr>
          <w:rFonts w:ascii="Georgia" w:hAnsi="Georgia"/>
          <w:sz w:val="20"/>
          <w:szCs w:val="20"/>
        </w:rPr>
        <w:t xml:space="preserve">los</w:t>
      </w:r>
      <w:r>
        <w:rPr>
          <w:rFonts w:ascii="Georgia" w:hAnsi="Georgia"/>
          <w:sz w:val="20"/>
          <w:szCs w:val="20"/>
        </w:rPr>
        <w:t xml:space="preserve"> temas de </w:t>
      </w:r>
      <w:r>
        <w:rPr>
          <w:rFonts w:ascii="Georgia" w:hAnsi="Georgia"/>
          <w:sz w:val="20"/>
          <w:szCs w:val="20"/>
        </w:rPr>
        <w:t xml:space="preserve">geografía</w:t>
      </w:r>
      <w:r>
        <w:rPr>
          <w:rFonts w:ascii="Georgia" w:hAnsi="Georgia"/>
          <w:sz w:val="20"/>
          <w:szCs w:val="20"/>
        </w:rPr>
        <w:t xml:space="preserve"> urbana que </w:t>
      </w:r>
      <w:r>
        <w:rPr>
          <w:rFonts w:ascii="Georgia" w:hAnsi="Georgia"/>
          <w:sz w:val="20"/>
          <w:szCs w:val="20"/>
        </w:rPr>
        <w:t xml:space="preserve">involucran</w:t>
      </w:r>
      <w:r>
        <w:rPr>
          <w:rFonts w:ascii="Georgia" w:hAnsi="Georgia"/>
          <w:sz w:val="20"/>
          <w:szCs w:val="20"/>
        </w:rPr>
        <w:t xml:space="preserve"> </w:t>
      </w:r>
      <w:r>
        <w:rPr>
          <w:rFonts w:ascii="Georgia" w:hAnsi="Georgia"/>
          <w:sz w:val="20"/>
          <w:szCs w:val="20"/>
        </w:rPr>
        <w:t xml:space="preserve">las</w:t>
      </w:r>
      <w:r>
        <w:rPr>
          <w:rFonts w:ascii="Georgia" w:hAnsi="Georgia"/>
          <w:sz w:val="20"/>
          <w:szCs w:val="20"/>
        </w:rPr>
        <w:t xml:space="preserve"> </w:t>
      </w:r>
      <w:r>
        <w:rPr>
          <w:rFonts w:ascii="Georgia" w:hAnsi="Georgia"/>
          <w:sz w:val="20"/>
          <w:szCs w:val="20"/>
        </w:rPr>
        <w:t xml:space="preserve">ciudades</w:t>
      </w:r>
      <w:r>
        <w:rPr>
          <w:rFonts w:ascii="Georgia" w:hAnsi="Georgia"/>
          <w:sz w:val="20"/>
          <w:szCs w:val="20"/>
        </w:rPr>
        <w:t xml:space="preserve"> de Alfenas y </w:t>
      </w:r>
      <w:r>
        <w:rPr>
          <w:rFonts w:ascii="Georgia" w:hAnsi="Georgia"/>
          <w:sz w:val="20"/>
          <w:szCs w:val="20"/>
        </w:rPr>
        <w:t xml:space="preserve">la</w:t>
      </w:r>
      <w:r>
        <w:rPr>
          <w:rFonts w:ascii="Georgia" w:hAnsi="Georgia"/>
          <w:sz w:val="20"/>
          <w:szCs w:val="20"/>
        </w:rPr>
        <w:t xml:space="preserve"> </w:t>
      </w:r>
      <w:r>
        <w:rPr>
          <w:rFonts w:ascii="Georgia" w:hAnsi="Georgia"/>
          <w:sz w:val="20"/>
          <w:szCs w:val="20"/>
        </w:rPr>
        <w:t xml:space="preserve">red</w:t>
      </w:r>
      <w:r>
        <w:rPr>
          <w:rFonts w:ascii="Georgia" w:hAnsi="Georgia"/>
          <w:sz w:val="20"/>
          <w:szCs w:val="20"/>
        </w:rPr>
        <w:t xml:space="preserve"> urbana </w:t>
      </w:r>
      <w:r>
        <w:rPr>
          <w:rFonts w:ascii="Georgia" w:hAnsi="Georgia"/>
          <w:sz w:val="20"/>
          <w:szCs w:val="20"/>
        </w:rPr>
        <w:t xml:space="preserve">del</w:t>
      </w:r>
      <w:r>
        <w:rPr>
          <w:rFonts w:ascii="Georgia" w:hAnsi="Georgia"/>
          <w:sz w:val="20"/>
          <w:szCs w:val="20"/>
        </w:rPr>
        <w:t xml:space="preserve"> </w:t>
      </w:r>
      <w:r>
        <w:rPr>
          <w:rFonts w:ascii="Georgia" w:hAnsi="Georgia"/>
          <w:sz w:val="20"/>
          <w:szCs w:val="20"/>
        </w:rPr>
        <w:t xml:space="preserve">sur</w:t>
      </w:r>
      <w:r>
        <w:rPr>
          <w:rFonts w:ascii="Georgia" w:hAnsi="Georgia"/>
          <w:sz w:val="20"/>
          <w:szCs w:val="20"/>
        </w:rPr>
        <w:t xml:space="preserve"> de Minas Gerais; </w:t>
      </w:r>
      <w:r>
        <w:rPr>
          <w:rFonts w:ascii="Georgia" w:hAnsi="Georgia"/>
          <w:sz w:val="20"/>
          <w:szCs w:val="20"/>
        </w:rPr>
        <w:t xml:space="preserve">en</w:t>
      </w:r>
      <w:r>
        <w:rPr>
          <w:rFonts w:ascii="Georgia" w:hAnsi="Georgia"/>
          <w:sz w:val="20"/>
          <w:szCs w:val="20"/>
        </w:rPr>
        <w:t xml:space="preserve"> </w:t>
      </w:r>
      <w:r>
        <w:rPr>
          <w:rFonts w:ascii="Georgia" w:hAnsi="Georgia"/>
          <w:sz w:val="20"/>
          <w:szCs w:val="20"/>
        </w:rPr>
        <w:t xml:space="preserve">la</w:t>
      </w:r>
      <w:r>
        <w:rPr>
          <w:rFonts w:ascii="Georgia" w:hAnsi="Georgia"/>
          <w:sz w:val="20"/>
          <w:szCs w:val="20"/>
        </w:rPr>
        <w:t xml:space="preserve"> </w:t>
      </w:r>
      <w:r>
        <w:rPr>
          <w:rFonts w:ascii="Georgia" w:hAnsi="Georgia"/>
          <w:sz w:val="20"/>
          <w:szCs w:val="20"/>
        </w:rPr>
        <w:t xml:space="preserve">recopilación</w:t>
      </w:r>
      <w:r>
        <w:rPr>
          <w:rFonts w:ascii="Georgia" w:hAnsi="Georgia"/>
          <w:sz w:val="20"/>
          <w:szCs w:val="20"/>
        </w:rPr>
        <w:t xml:space="preserve"> de </w:t>
      </w:r>
      <w:r>
        <w:rPr>
          <w:rFonts w:ascii="Georgia" w:hAnsi="Georgia"/>
          <w:sz w:val="20"/>
          <w:szCs w:val="20"/>
        </w:rPr>
        <w:t xml:space="preserve">datos</w:t>
      </w:r>
      <w:r>
        <w:rPr>
          <w:rFonts w:ascii="Georgia" w:hAnsi="Georgia"/>
          <w:sz w:val="20"/>
          <w:szCs w:val="20"/>
        </w:rPr>
        <w:t xml:space="preserve"> estadísticos de organismos </w:t>
      </w:r>
      <w:r>
        <w:rPr>
          <w:rFonts w:ascii="Georgia" w:hAnsi="Georgia"/>
          <w:sz w:val="20"/>
          <w:szCs w:val="20"/>
        </w:rPr>
        <w:t xml:space="preserve">institucionales</w:t>
      </w:r>
      <w:r>
        <w:rPr>
          <w:rFonts w:ascii="Georgia" w:hAnsi="Georgia"/>
          <w:sz w:val="20"/>
          <w:szCs w:val="20"/>
        </w:rPr>
        <w:t xml:space="preserve"> y</w:t>
      </w:r>
      <w:r>
        <w:rPr>
          <w:rFonts w:ascii="Georgia" w:hAnsi="Georgia"/>
          <w:sz w:val="20"/>
          <w:szCs w:val="20"/>
        </w:rPr>
        <w:t xml:space="preserve"> </w:t>
      </w:r>
      <w:r>
        <w:rPr>
          <w:rFonts w:ascii="Georgia" w:hAnsi="Georgia"/>
          <w:sz w:val="20"/>
          <w:szCs w:val="20"/>
        </w:rPr>
        <w:t xml:space="preserve">levantamiento</w:t>
      </w:r>
      <w:r>
        <w:rPr>
          <w:rFonts w:ascii="Georgia" w:hAnsi="Georgia"/>
          <w:sz w:val="20"/>
          <w:szCs w:val="20"/>
        </w:rPr>
        <w:t xml:space="preserve"> cartográfico</w:t>
      </w:r>
      <w:r>
        <w:rPr>
          <w:rFonts w:ascii="Georgia" w:hAnsi="Georgia"/>
          <w:sz w:val="20"/>
          <w:szCs w:val="20"/>
        </w:rPr>
        <w:t xml:space="preserve">.</w:t>
      </w:r>
      <w:r>
        <w:rPr>
          <w:rFonts w:ascii="Georgia" w:hAnsi="Georgia"/>
          <w:sz w:val="20"/>
          <w:szCs w:val="20"/>
        </w:rPr>
      </w:r>
    </w:p>
    <w:p w14:paraId="38E2DD72" w14:textId="77777777">
      <w:pPr>
        <w:pBdr/>
        <w:spacing w:after="120" w:line="240" w:lineRule="auto"/>
        <w:ind/>
        <w:rPr>
          <w:rFonts w:ascii="Georgia" w:hAnsi="Georgia"/>
          <w:sz w:val="20"/>
          <w:szCs w:val="20"/>
        </w:rPr>
      </w:pPr>
      <w:r>
        <w:rPr>
          <w:rFonts w:ascii="Georgia" w:hAnsi="Georgia"/>
          <w:b/>
          <w:bCs/>
          <w:sz w:val="20"/>
          <w:szCs w:val="20"/>
        </w:rPr>
        <w:t xml:space="preserve">Palabras</w:t>
      </w:r>
      <w:r>
        <w:rPr>
          <w:rFonts w:ascii="Georgia" w:hAnsi="Georgia"/>
          <w:b/>
          <w:bCs/>
          <w:sz w:val="20"/>
          <w:szCs w:val="20"/>
        </w:rPr>
        <w:t xml:space="preserve"> clave:</w:t>
      </w:r>
      <w:r>
        <w:rPr>
          <w:rFonts w:ascii="Georgia" w:hAnsi="Georgia"/>
          <w:sz w:val="20"/>
          <w:szCs w:val="20"/>
        </w:rPr>
        <w:t xml:space="preserve"> </w:t>
      </w:r>
      <w:r>
        <w:rPr>
          <w:rFonts w:ascii="Georgia" w:hAnsi="Georgia"/>
          <w:sz w:val="20"/>
          <w:szCs w:val="20"/>
        </w:rPr>
        <w:t xml:space="preserve">Región</w:t>
      </w:r>
      <w:r>
        <w:rPr>
          <w:rFonts w:ascii="Georgia" w:hAnsi="Georgia"/>
          <w:sz w:val="20"/>
          <w:szCs w:val="20"/>
        </w:rPr>
        <w:t xml:space="preserve"> </w:t>
      </w:r>
      <w:r>
        <w:rPr>
          <w:rFonts w:ascii="Georgia" w:hAnsi="Georgia"/>
          <w:sz w:val="20"/>
          <w:szCs w:val="20"/>
        </w:rPr>
        <w:t xml:space="preserve">inmediata</w:t>
      </w:r>
      <w:r>
        <w:rPr>
          <w:rFonts w:ascii="Georgia" w:hAnsi="Georgia"/>
          <w:sz w:val="20"/>
          <w:szCs w:val="20"/>
        </w:rPr>
        <w:t xml:space="preserve">, </w:t>
      </w:r>
      <w:r>
        <w:rPr>
          <w:rFonts w:ascii="Georgia" w:hAnsi="Georgia"/>
          <w:sz w:val="20"/>
          <w:szCs w:val="20"/>
        </w:rPr>
        <w:t xml:space="preserve">Red</w:t>
      </w:r>
      <w:r>
        <w:rPr>
          <w:rFonts w:ascii="Georgia" w:hAnsi="Georgia"/>
          <w:sz w:val="20"/>
          <w:szCs w:val="20"/>
        </w:rPr>
        <w:t xml:space="preserve"> urbana, </w:t>
      </w:r>
      <w:r>
        <w:rPr>
          <w:rFonts w:ascii="Georgia" w:hAnsi="Georgia"/>
          <w:sz w:val="20"/>
          <w:szCs w:val="20"/>
        </w:rPr>
        <w:t xml:space="preserve">Polarización</w:t>
      </w:r>
      <w:r>
        <w:rPr>
          <w:rFonts w:ascii="Georgia" w:hAnsi="Georgia"/>
          <w:sz w:val="20"/>
          <w:szCs w:val="20"/>
        </w:rPr>
        <w:t xml:space="preserve"> espacial, </w:t>
      </w:r>
      <w:r>
        <w:rPr>
          <w:rFonts w:ascii="Georgia" w:hAnsi="Georgia"/>
          <w:sz w:val="20"/>
          <w:szCs w:val="20"/>
        </w:rPr>
        <w:t xml:space="preserve">Centralidad</w:t>
      </w:r>
      <w:r>
        <w:rPr>
          <w:rFonts w:ascii="Georgia" w:hAnsi="Georgia"/>
          <w:sz w:val="20"/>
          <w:szCs w:val="20"/>
        </w:rPr>
        <w:t xml:space="preserve">.</w:t>
      </w:r>
      <w:r>
        <w:rPr>
          <w:rFonts w:ascii="Georgia" w:hAnsi="Georgia"/>
          <w:sz w:val="20"/>
          <w:szCs w:val="20"/>
        </w:rPr>
      </w:r>
    </w:p>
    <w:p w14:paraId="5785FFE6" w14:textId="77777777">
      <w:pPr>
        <w:pBdr/>
        <w:spacing/>
        <w:ind/>
        <w:jc w:val="both"/>
        <w:rPr>
          <w:rFonts w:ascii="Georgia" w:hAnsi="Georgia"/>
          <w:sz w:val="20"/>
          <w:szCs w:val="20"/>
        </w:rPr>
      </w:pPr>
      <w:r>
        <w:rPr>
          <w:rFonts w:ascii="Georgia" w:hAnsi="Georgia"/>
          <w:sz w:val="20"/>
          <w:szCs w:val="20"/>
        </w:rPr>
      </w:r>
      <w:r>
        <w:rPr>
          <w:rFonts w:ascii="Georgia" w:hAnsi="Georgia"/>
          <w:sz w:val="20"/>
          <w:szCs w:val="20"/>
        </w:rPr>
      </w:r>
    </w:p>
    <w:p w14:paraId="691AE93B" w14:textId="77777777">
      <w:pPr>
        <w:pBdr/>
        <w:spacing/>
        <w:ind/>
        <w:jc w:val="both"/>
        <w:rPr>
          <w:rFonts w:ascii="Georgia" w:hAnsi="Georgia"/>
          <w:sz w:val="20"/>
          <w:szCs w:val="20"/>
        </w:rPr>
      </w:pPr>
      <w:r>
        <w:rPr>
          <w:rFonts w:ascii="Georgia" w:hAnsi="Georgia"/>
          <w:sz w:val="20"/>
          <w:szCs w:val="20"/>
        </w:rPr>
      </w:r>
      <w:r>
        <w:rPr>
          <w:rFonts w:ascii="Georgia" w:hAnsi="Georgia"/>
          <w:sz w:val="20"/>
          <w:szCs w:val="20"/>
        </w:rPr>
      </w:r>
    </w:p>
    <w:p w14:paraId="67CE914B" w14:textId="77777777">
      <w:pPr>
        <w:pBdr/>
        <w:spacing/>
        <w:ind/>
        <w:jc w:val="both"/>
        <w:rPr>
          <w:rFonts w:ascii="Georgia" w:hAnsi="Georgia"/>
          <w:sz w:val="20"/>
          <w:szCs w:val="20"/>
        </w:rPr>
      </w:pPr>
      <w:r>
        <w:rPr>
          <w:rFonts w:ascii="Georgia" w:hAnsi="Georgia"/>
          <w:sz w:val="20"/>
          <w:szCs w:val="20"/>
        </w:rPr>
      </w:r>
      <w:r>
        <w:rPr>
          <w:rFonts w:ascii="Georgia" w:hAnsi="Georgia"/>
          <w:sz w:val="20"/>
          <w:szCs w:val="20"/>
        </w:rPr>
      </w:r>
    </w:p>
    <w:p w14:paraId="3C98F690" w14:textId="77777777">
      <w:pPr>
        <w:pBdr/>
        <w:spacing/>
        <w:ind/>
        <w:jc w:val="both"/>
        <w:rPr>
          <w:rFonts w:ascii="Georgia" w:hAnsi="Georgia"/>
          <w:sz w:val="20"/>
          <w:szCs w:val="20"/>
        </w:rPr>
      </w:pPr>
      <w:r>
        <w:rPr>
          <w:rFonts w:ascii="Georgia" w:hAnsi="Georgia"/>
          <w:sz w:val="20"/>
          <w:szCs w:val="20"/>
        </w:rPr>
      </w:r>
      <w:r>
        <w:rPr>
          <w:rFonts w:ascii="Georgia" w:hAnsi="Georgia"/>
          <w:sz w:val="20"/>
          <w:szCs w:val="20"/>
        </w:rPr>
      </w:r>
    </w:p>
    <w:p w14:paraId="35553256" w14:textId="7AA8E653">
      <w:pPr>
        <w:pBdr/>
        <w:spacing/>
        <w:ind/>
        <w:jc w:val="both"/>
        <w:rPr>
          <w:rFonts w:ascii="Georgia" w:hAnsi="Georgia"/>
          <w:sz w:val="20"/>
          <w:szCs w:val="20"/>
        </w:rPr>
      </w:pPr>
      <w:r>
        <w:rPr>
          <w:rFonts w:ascii="Georgia" w:hAnsi="Georgia"/>
          <w:b/>
          <w:bCs/>
          <w:sz w:val="24"/>
          <w:szCs w:val="24"/>
        </w:rPr>
        <mc:AlternateContent>
          <mc:Choice Requires="wpg">
            <w:drawing>
              <wp:anchor xmlns:wp="http://schemas.openxmlformats.org/drawingml/2006/wordprocessingDrawing" xmlns:wp14="http://schemas.microsoft.com/office/word/2010/wordprocessingDrawing" distT="45720" distB="45720" distL="114300" distR="114300" simplePos="0" relativeHeight="251661312" behindDoc="0" locked="0" layoutInCell="1" allowOverlap="1">
                <wp:simplePos x="0" y="0"/>
                <wp:positionH relativeFrom="column">
                  <wp:posOffset>3452495</wp:posOffset>
                </wp:positionH>
                <wp:positionV relativeFrom="paragraph">
                  <wp:posOffset>343535</wp:posOffset>
                </wp:positionV>
                <wp:extent cx="2456815" cy="533400"/>
                <wp:effectExtent l="0" t="0" r="19685" b="19050"/>
                <wp:wrapSquare wrapText="bothSides"/>
                <wp:docPr id="5" name="Caixa de Texto 2"/>
                <wp:cNvGraphicFramePr/>
                <a:graphic xmlns:a="http://schemas.openxmlformats.org/drawingml/2006/main">
                  <a:graphicData uri="http://schemas.microsoft.com/office/word/2010/wordprocessingShape">
                    <wps:wsp>
                      <wps:cNvPr id="0" name=""/>
                      <wps:cNvSpPr txBox="1">
                        <a:spLocks noChangeArrowheads="1"/>
                      </wps:cNvSpPr>
                      <wps:spPr bwMode="auto">
                        <a:xfrm>
                          <a:off x="0" y="0"/>
                          <a:ext cx="2456815" cy="533400"/>
                        </a:xfrm>
                        <a:prstGeom prst="rect">
                          <a:avLst/>
                        </a:prstGeom>
                        <a:solidFill>
                          <a:srgbClr val="FFFFFF"/>
                        </a:solidFill>
                        <a:ln w="9525">
                          <a:solidFill>
                            <a:srgbClr val="000000"/>
                          </a:solidFill>
                          <a:miter lim="800000"/>
                          <a:headEnd/>
                          <a:tailEnd/>
                        </a:ln>
                      </wps:spPr>
                      <wps:txbx>
                        <w:txbxContent>
                          <w:p w14:paraId="12AD590E" w14:textId="75A09429">
                            <w:pPr>
                              <w:pBdr/>
                              <w:spacing w:after="0" w:line="240" w:lineRule="auto"/>
                              <w:ind/>
                              <w:jc w:val="right"/>
                              <w:rPr>
                                <w:rFonts w:ascii="Georgia" w:hAnsi="Georgia"/>
                                <w:sz w:val="20"/>
                                <w:szCs w:val="20"/>
                              </w:rPr>
                            </w:pPr>
                            <w:r>
                              <w:rPr>
                                <w:rFonts w:ascii="Georgia" w:hAnsi="Georgia"/>
                                <w:sz w:val="20"/>
                                <w:szCs w:val="20"/>
                              </w:rPr>
                              <w:t xml:space="preserve">Recebido em: 15/12/2025</w:t>
                            </w:r>
                            <w:r>
                              <w:rPr>
                                <w:rFonts w:ascii="Georgia" w:hAnsi="Georgia"/>
                                <w:sz w:val="20"/>
                                <w:szCs w:val="20"/>
                              </w:rPr>
                            </w:r>
                          </w:p>
                          <w:p w14:paraId="2C60E7AD" w14:textId="702B48E8">
                            <w:pPr>
                              <w:pBdr/>
                              <w:spacing w:after="0" w:line="240" w:lineRule="auto"/>
                              <w:ind/>
                              <w:jc w:val="right"/>
                              <w:rPr>
                                <w:rFonts w:ascii="Georgia" w:hAnsi="Georgia"/>
                                <w:sz w:val="20"/>
                                <w:szCs w:val="20"/>
                              </w:rPr>
                            </w:pPr>
                            <w:r>
                              <w:rPr>
                                <w:rFonts w:ascii="Georgia" w:hAnsi="Georgia"/>
                                <w:sz w:val="20"/>
                                <w:szCs w:val="20"/>
                              </w:rPr>
                              <w:t xml:space="preserve">Aceito para publicação: 29/04/2026</w:t>
                            </w:r>
                            <w:r>
                              <w:rPr>
                                <w:rFonts w:ascii="Georgia" w:hAnsi="Georgia"/>
                                <w:sz w:val="20"/>
                                <w:szCs w:val="20"/>
                              </w:rPr>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shape 4" o:spid="_x0000_s4" o:spt="202" type="#_x0000_t202" style="position:absolute;z-index:251661312;o:allowoverlap:true;o:allowincell:true;mso-position-horizontal-relative:text;margin-left:271.85pt;mso-position-horizontal:absolute;mso-position-vertical-relative:text;margin-top:27.05pt;mso-position-vertical:absolute;width:193.45pt;height:42.00pt;mso-wrap-distance-left:9.00pt;mso-wrap-distance-top:3.60pt;mso-wrap-distance-right:9.00pt;mso-wrap-distance-bottom:3.60pt;v-text-anchor:top;visibility:visible;" fillcolor="#FFFFFF" strokecolor="#000000" strokeweight="0.75pt">
                <w10:wrap type="square"/>
                <v:textbox inset="0,0,0,0">
                  <w:txbxContent>
                    <w:p w14:paraId="12AD590E" w14:textId="75A09429">
                      <w:pPr>
                        <w:pBdr/>
                        <w:spacing w:after="0" w:line="240" w:lineRule="auto"/>
                        <w:ind/>
                        <w:jc w:val="right"/>
                        <w:rPr>
                          <w:rFonts w:ascii="Georgia" w:hAnsi="Georgia"/>
                          <w:sz w:val="20"/>
                          <w:szCs w:val="20"/>
                        </w:rPr>
                      </w:pPr>
                      <w:r>
                        <w:rPr>
                          <w:rFonts w:ascii="Georgia" w:hAnsi="Georgia"/>
                          <w:sz w:val="20"/>
                          <w:szCs w:val="20"/>
                        </w:rPr>
                        <w:t xml:space="preserve">Recebido em: 15/12/2025</w:t>
                      </w:r>
                      <w:r>
                        <w:rPr>
                          <w:rFonts w:ascii="Georgia" w:hAnsi="Georgia"/>
                          <w:sz w:val="20"/>
                          <w:szCs w:val="20"/>
                        </w:rPr>
                      </w:r>
                    </w:p>
                    <w:p w14:paraId="2C60E7AD" w14:textId="702B48E8">
                      <w:pPr>
                        <w:pBdr/>
                        <w:spacing w:after="0" w:line="240" w:lineRule="auto"/>
                        <w:ind/>
                        <w:jc w:val="right"/>
                        <w:rPr>
                          <w:rFonts w:ascii="Georgia" w:hAnsi="Georgia"/>
                          <w:sz w:val="20"/>
                          <w:szCs w:val="20"/>
                        </w:rPr>
                      </w:pPr>
                      <w:r>
                        <w:rPr>
                          <w:rFonts w:ascii="Georgia" w:hAnsi="Georgia"/>
                          <w:sz w:val="20"/>
                          <w:szCs w:val="20"/>
                        </w:rPr>
                        <w:t xml:space="preserve">Aceito para publicação: 29/04/2026</w:t>
                      </w:r>
                      <w:r>
                        <w:rPr>
                          <w:rFonts w:ascii="Georgia" w:hAnsi="Georgia"/>
                          <w:sz w:val="20"/>
                          <w:szCs w:val="20"/>
                        </w:rPr>
                      </w:r>
                    </w:p>
                  </w:txbxContent>
                </v:textbox>
              </v:shape>
            </w:pict>
          </mc:Fallback>
        </mc:AlternateContent>
      </w:r>
      <w:r>
        <w:rPr>
          <w:rFonts w:ascii="Georgia" w:hAnsi="Georgia"/>
          <w:sz w:val="20"/>
          <w:szCs w:val="20"/>
        </w:rPr>
        <w:br w:type="column"/>
      </w:r>
      <w:r>
        <w:rPr>
          <w:rFonts w:ascii="Georgia" w:hAnsi="Georgia"/>
          <w:sz w:val="20"/>
          <w:szCs w:val="20"/>
        </w:rPr>
      </w:r>
    </w:p>
    <w:p w14:paraId="786BBEED" w14:textId="77777777">
      <w:pPr>
        <w:pBdr/>
        <w:spacing/>
        <w:ind/>
        <w:jc w:val="both"/>
        <w:rPr>
          <w:rFonts w:ascii="Georgia" w:hAnsi="Georgia"/>
          <w:sz w:val="20"/>
          <w:szCs w:val="20"/>
        </w:rPr>
      </w:pPr>
      <w:r>
        <w:rPr>
          <w:rFonts w:ascii="Georgia" w:hAnsi="Georgia"/>
          <w:sz w:val="20"/>
          <w:szCs w:val="20"/>
        </w:rPr>
      </w:r>
      <w:r>
        <w:rPr>
          <w:rFonts w:ascii="Georgia" w:hAnsi="Georgia"/>
          <w:sz w:val="20"/>
          <w:szCs w:val="20"/>
        </w:rPr>
      </w:r>
    </w:p>
    <w:p w14:paraId="26F96568" w14:textId="782D5EDE">
      <w:pPr>
        <w:pBdr/>
        <w:spacing/>
        <w:ind/>
        <w:rPr>
          <w:rFonts w:ascii="Georgia" w:hAnsi="Georgia"/>
          <w:sz w:val="20"/>
          <w:szCs w:val="20"/>
        </w:rPr>
      </w:pPr>
      <w:r>
        <w:rPr>
          <w:rFonts w:ascii="Georgia" w:hAnsi="Georgia"/>
          <w:sz w:val="20"/>
          <w:szCs w:val="20"/>
        </w:rPr>
        <w:br w:type="page" w:clear="all"/>
      </w:r>
      <w:r>
        <w:rPr>
          <w:rFonts w:ascii="Georgia" w:hAnsi="Georgia"/>
          <w:sz w:val="20"/>
          <w:szCs w:val="20"/>
        </w:rPr>
      </w:r>
    </w:p>
    <w:p w14:paraId="4888836A" w14:textId="2620D3D4">
      <w:pPr>
        <w:pBdr/>
        <w:spacing w:after="120" w:line="240" w:lineRule="auto"/>
        <w:ind/>
        <w:rPr>
          <w:rFonts w:ascii="Georgia" w:hAnsi="Georgia"/>
          <w:b/>
          <w:bCs/>
          <w:sz w:val="24"/>
          <w:szCs w:val="24"/>
        </w:rPr>
        <w:sectPr>
          <w:footnotePr/>
          <w:endnotePr/>
          <w:type w:val="continuous"/>
          <w:pgSz w:h="16838" w:orient="portrait" w:w="11906"/>
          <w:pgMar w:top="1418" w:right="1701" w:bottom="1701" w:left="1418" w:header="709" w:footer="709" w:gutter="0"/>
          <w:cols w:num="2" w:sep="0" w:space="708" w:equalWidth="1"/>
        </w:sectPr>
      </w:pPr>
      <w:r>
        <w:rPr>
          <w:rFonts w:ascii="Georgia" w:hAnsi="Georgia"/>
          <w:b/>
          <w:bCs/>
          <w:sz w:val="24"/>
          <w:szCs w:val="24"/>
        </w:rPr>
      </w:r>
      <w:r>
        <w:rPr>
          <w:rFonts w:ascii="Georgia" w:hAnsi="Georgia"/>
          <w:b/>
          <w:bCs/>
          <w:sz w:val="24"/>
          <w:szCs w:val="24"/>
        </w:rPr>
      </w:r>
    </w:p>
    <w:p w14:paraId="06B12EE7" w14:textId="77777777">
      <w:pPr>
        <w:pBdr/>
        <w:spacing w:after="120" w:line="360" w:lineRule="auto"/>
        <w:ind/>
        <w:jc w:val="both"/>
        <w:rPr>
          <w:rFonts w:ascii="Georgia" w:hAnsi="Georgia" w:cstheme="minorHAnsi"/>
          <w:b/>
          <w:sz w:val="24"/>
          <w:szCs w:val="24"/>
        </w:rPr>
      </w:pPr>
      <w:r>
        <w:rPr>
          <w:rFonts w:ascii="Georgia" w:hAnsi="Georgia" w:cstheme="minorHAnsi"/>
          <w:b/>
          <w:sz w:val="24"/>
          <w:szCs w:val="24"/>
        </w:rPr>
        <w:t xml:space="preserve">Introdução</w:t>
      </w:r>
      <w:r>
        <w:rPr>
          <w:rFonts w:ascii="Georgia" w:hAnsi="Georgia" w:cstheme="minorHAnsi"/>
          <w:b/>
          <w:sz w:val="24"/>
          <w:szCs w:val="24"/>
        </w:rPr>
      </w:r>
    </w:p>
    <w:p w14:paraId="56610D9D" w14:textId="77777777">
      <w:pPr>
        <w:pBdr/>
        <w:spacing w:after="120" w:line="360" w:lineRule="auto"/>
        <w:ind w:firstLine="700"/>
        <w:jc w:val="both"/>
        <w:rPr>
          <w:rFonts w:ascii="Georgia" w:hAnsi="Georgia" w:cstheme="minorHAnsi"/>
          <w:sz w:val="24"/>
          <w:szCs w:val="24"/>
        </w:rPr>
      </w:pPr>
      <w:r>
        <w:rPr>
          <w:rFonts w:ascii="Georgia" w:hAnsi="Georgia" w:cstheme="minorHAnsi"/>
          <w:sz w:val="24"/>
          <w:szCs w:val="24"/>
        </w:rPr>
        <w:t xml:space="preserve">A região do Sul de Minas Gerais compreende uma densa rede urbana com cerca de 160 municípios, formada e</w:t>
      </w:r>
      <w:r>
        <w:rPr>
          <w:rFonts w:ascii="Georgia" w:hAnsi="Georgia" w:cstheme="minorHAnsi"/>
          <w:sz w:val="24"/>
          <w:szCs w:val="24"/>
        </w:rPr>
        <w:t xml:space="preserve">m sua maioria de pequenas cidades vinculadas ao rural, distantes mais ou menos vinte a trinta quilômetros entre si, onde se destacam apenas quatro municípios com mais 100 mil habitantes, configurando uma situação muito particular na rede urbana brasileira.</w:t>
      </w:r>
      <w:r>
        <w:rPr>
          <w:rFonts w:ascii="Georgia" w:hAnsi="Georgia" w:cstheme="minorHAnsi"/>
          <w:sz w:val="24"/>
          <w:szCs w:val="24"/>
        </w:rPr>
      </w:r>
    </w:p>
    <w:p w14:paraId="645414A1" w14:textId="77777777">
      <w:pPr>
        <w:pBdr/>
        <w:spacing w:after="120" w:line="360" w:lineRule="auto"/>
        <w:ind w:firstLine="700"/>
        <w:jc w:val="both"/>
        <w:rPr>
          <w:rFonts w:ascii="Georgia" w:hAnsi="Georgia" w:cstheme="minorHAnsi"/>
          <w:sz w:val="24"/>
          <w:szCs w:val="24"/>
        </w:rPr>
      </w:pPr>
      <w:r>
        <w:rPr>
          <w:rFonts w:ascii="Georgia" w:hAnsi="Georgia" w:cstheme="minorHAnsi"/>
          <w:sz w:val="24"/>
          <w:szCs w:val="24"/>
        </w:rPr>
        <w:t xml:space="preserve"> A elevada densidade de cidades da região do Sul de Minas assume uma funcionalidade importante, pois atualmente tem-se uma circulação intensa de pessoas, mão de obra, bens e serviços entre essas cidades, em função da maior articulação, implicando tanto em </w:t>
      </w:r>
      <w:r>
        <w:rPr>
          <w:rFonts w:ascii="Georgia" w:hAnsi="Georgia" w:cstheme="minorHAnsi"/>
          <w:sz w:val="24"/>
          <w:szCs w:val="24"/>
        </w:rPr>
        <w:t xml:space="preserve">uma expressiva complementaridade quanto concorrência entre estas. Também é alvo da desconcentração produtiva e populacional das metrópoles do Sudeste, especialmente os municípios situados no eixo da rodovia Fernão Dias, que liga São Paulo a Belo Horizonte.</w:t>
      </w:r>
      <w:r>
        <w:rPr>
          <w:rFonts w:ascii="Georgia" w:hAnsi="Georgia" w:cstheme="minorHAnsi"/>
          <w:sz w:val="24"/>
          <w:szCs w:val="24"/>
        </w:rPr>
      </w:r>
    </w:p>
    <w:p w14:paraId="08A8411A" w14:textId="2849C028">
      <w:pPr>
        <w:pBdr/>
        <w:spacing w:after="120" w:line="360" w:lineRule="auto"/>
        <w:ind w:firstLine="700"/>
        <w:jc w:val="both"/>
        <w:rPr>
          <w:rFonts w:ascii="Georgia" w:hAnsi="Georgia" w:cstheme="minorHAnsi"/>
          <w:sz w:val="24"/>
          <w:szCs w:val="24"/>
        </w:rPr>
      </w:pPr>
      <w:r>
        <w:rPr>
          <w:rFonts w:ascii="Georgia" w:hAnsi="Georgia" w:cstheme="minorHAnsi"/>
          <w:sz w:val="24"/>
          <w:szCs w:val="24"/>
        </w:rPr>
        <w:t xml:space="preserve">A Região Imediata de Alfenas, localizada na Região Geográfica Intermediária de Varginha, é composta por treze municípios, compreendendo uma pop</w:t>
      </w:r>
      <w:r>
        <w:rPr>
          <w:rFonts w:ascii="Georgia" w:hAnsi="Georgia" w:cstheme="minorHAnsi"/>
          <w:sz w:val="24"/>
          <w:szCs w:val="24"/>
        </w:rPr>
        <w:t xml:space="preserve">ulação total de 249.807 habitantes (Figura 1). Alfenas comporta uma população de 78.970 habitantes e a maioria dos demais municípios apresenta uma população inferior a 20 mil habitantes, a qual a principal especialização é a produção cafeeira (IBGE, 2024),</w:t>
      </w:r>
      <w:r>
        <w:rPr>
          <w:rFonts w:ascii="Georgia" w:hAnsi="Georgia" w:cstheme="minorHAnsi"/>
          <w:sz w:val="24"/>
          <w:szCs w:val="24"/>
        </w:rPr>
      </w:r>
    </w:p>
    <w:p w14:paraId="0598DA3F" w14:textId="0040BCA7">
      <w:pPr>
        <w:pBdr/>
        <w:spacing w:after="120" w:line="360" w:lineRule="auto"/>
        <w:ind w:firstLine="700"/>
        <w:jc w:val="both"/>
        <w:rPr>
          <w:rFonts w:ascii="Georgia" w:hAnsi="Georgia" w:cstheme="minorHAnsi"/>
          <w:sz w:val="24"/>
          <w:szCs w:val="24"/>
        </w:rPr>
      </w:pPr>
      <w:r>
        <w:rPr>
          <w:rFonts w:ascii="Georgia" w:hAnsi="Georgia" w:cstheme="minorHAnsi"/>
          <w:sz w:val="24"/>
          <w:szCs w:val="24"/>
        </w:rPr>
        <w:t xml:space="preserve">A cidade </w:t>
      </w:r>
      <w:r>
        <w:rPr>
          <w:rFonts w:ascii="Georgia" w:hAnsi="Georgia" w:cstheme="minorHAnsi"/>
          <w:sz w:val="24"/>
          <w:szCs w:val="24"/>
        </w:rPr>
        <w:t xml:space="preserve">se </w:t>
      </w:r>
      <w:r>
        <w:rPr>
          <w:rFonts w:ascii="Georgia" w:hAnsi="Georgia" w:cstheme="minorHAnsi"/>
          <w:sz w:val="24"/>
          <w:szCs w:val="24"/>
        </w:rPr>
        <w:t xml:space="preserve">destaca como polo de comércio e serviços para as pequenas cidades vizinhas, sendo referência nos setores médico-hospitalar e ensino superior, funções que a consolidaram como um centro </w:t>
      </w:r>
      <w:r>
        <w:rPr>
          <w:rFonts w:ascii="Georgia" w:hAnsi="Georgia" w:cstheme="minorHAnsi"/>
          <w:sz w:val="24"/>
          <w:szCs w:val="24"/>
        </w:rPr>
        <w:t xml:space="preserve">subregional</w:t>
      </w:r>
      <w:r>
        <w:rPr>
          <w:rFonts w:ascii="Georgia" w:hAnsi="Georgia" w:cstheme="minorHAnsi"/>
          <w:sz w:val="24"/>
          <w:szCs w:val="24"/>
        </w:rPr>
        <w:t xml:space="preserve"> no sul de Minas Gerais, desde a primeira metade do século XX.</w:t>
      </w:r>
      <w:r>
        <w:rPr>
          <w:rFonts w:ascii="Georgia" w:hAnsi="Georgia" w:cstheme="minorHAnsi"/>
          <w:sz w:val="24"/>
          <w:szCs w:val="24"/>
        </w:rPr>
      </w:r>
    </w:p>
    <w:p w14:paraId="37471616" w14:textId="77777777">
      <w:pPr>
        <w:pBdr/>
        <w:spacing w:after="120" w:line="360" w:lineRule="auto"/>
        <w:ind w:firstLine="700"/>
        <w:jc w:val="both"/>
        <w:rPr>
          <w:rFonts w:ascii="Georgia" w:hAnsi="Georgia" w:cstheme="minorHAnsi"/>
          <w:sz w:val="24"/>
          <w:szCs w:val="24"/>
        </w:rPr>
      </w:pPr>
      <w:r>
        <w:rPr>
          <w:rFonts w:ascii="Georgia" w:hAnsi="Georgia" w:cstheme="minorHAnsi"/>
          <w:sz w:val="24"/>
          <w:szCs w:val="24"/>
        </w:rPr>
      </w:r>
      <w:r>
        <w:rPr>
          <w:rFonts w:ascii="Georgia" w:hAnsi="Georgia" w:cstheme="minorHAnsi"/>
          <w:sz w:val="24"/>
          <w:szCs w:val="24"/>
        </w:rPr>
      </w:r>
    </w:p>
    <w:p w14:paraId="221D8DF9" w14:textId="77777777">
      <w:pPr>
        <w:pBdr/>
        <w:spacing w:after="120" w:line="360" w:lineRule="auto"/>
        <w:ind w:firstLine="700"/>
        <w:jc w:val="both"/>
        <w:rPr>
          <w:rFonts w:ascii="Georgia" w:hAnsi="Georgia" w:cstheme="minorHAnsi"/>
          <w:sz w:val="24"/>
          <w:szCs w:val="24"/>
        </w:rPr>
      </w:pPr>
      <w:r>
        <w:rPr>
          <w:rFonts w:ascii="Georgia" w:hAnsi="Georgia" w:cstheme="minorHAnsi"/>
          <w:sz w:val="24"/>
          <w:szCs w:val="24"/>
        </w:rPr>
      </w:r>
      <w:r>
        <w:rPr>
          <w:rFonts w:ascii="Georgia" w:hAnsi="Georgia" w:cstheme="minorHAnsi"/>
          <w:sz w:val="24"/>
          <w:szCs w:val="24"/>
        </w:rPr>
      </w:r>
    </w:p>
    <w:p w14:paraId="3B81104A" w14:textId="77777777">
      <w:pPr>
        <w:pBdr/>
        <w:spacing w:after="120" w:line="360" w:lineRule="auto"/>
        <w:ind w:firstLine="700"/>
        <w:jc w:val="both"/>
        <w:rPr>
          <w:rFonts w:ascii="Georgia" w:hAnsi="Georgia" w:cstheme="minorHAnsi"/>
          <w:sz w:val="24"/>
          <w:szCs w:val="24"/>
        </w:rPr>
      </w:pPr>
      <w:r>
        <w:rPr>
          <w:rFonts w:ascii="Georgia" w:hAnsi="Georgia" w:cstheme="minorHAnsi"/>
          <w:sz w:val="24"/>
          <w:szCs w:val="24"/>
        </w:rPr>
      </w:r>
      <w:r>
        <w:rPr>
          <w:rFonts w:ascii="Georgia" w:hAnsi="Georgia" w:cstheme="minorHAnsi"/>
          <w:sz w:val="24"/>
          <w:szCs w:val="24"/>
        </w:rPr>
      </w:r>
    </w:p>
    <w:p w14:paraId="7374D5CC" w14:textId="77777777">
      <w:pPr>
        <w:pBdr/>
        <w:spacing w:after="120" w:line="360" w:lineRule="auto"/>
        <w:ind w:firstLine="700"/>
        <w:jc w:val="both"/>
        <w:rPr>
          <w:rFonts w:ascii="Georgia" w:hAnsi="Georgia" w:cstheme="minorHAnsi"/>
          <w:sz w:val="24"/>
          <w:szCs w:val="24"/>
        </w:rPr>
      </w:pPr>
      <w:r>
        <w:rPr>
          <w:rFonts w:ascii="Georgia" w:hAnsi="Georgia" w:cstheme="minorHAnsi"/>
          <w:sz w:val="24"/>
          <w:szCs w:val="24"/>
        </w:rPr>
      </w:r>
      <w:r>
        <w:rPr>
          <w:rFonts w:ascii="Georgia" w:hAnsi="Georgia" w:cstheme="minorHAnsi"/>
          <w:sz w:val="24"/>
          <w:szCs w:val="24"/>
        </w:rPr>
      </w:r>
    </w:p>
    <w:p w14:paraId="41959844" w14:textId="77777777">
      <w:pPr>
        <w:pBdr/>
        <w:spacing w:after="120" w:line="360" w:lineRule="auto"/>
        <w:ind w:firstLine="700"/>
        <w:jc w:val="both"/>
        <w:rPr>
          <w:rFonts w:ascii="Georgia" w:hAnsi="Georgia" w:cstheme="minorHAnsi"/>
          <w:sz w:val="24"/>
          <w:szCs w:val="24"/>
        </w:rPr>
      </w:pPr>
      <w:r>
        <w:rPr>
          <w:rFonts w:ascii="Georgia" w:hAnsi="Georgia" w:cstheme="minorHAnsi"/>
          <w:sz w:val="24"/>
          <w:szCs w:val="24"/>
        </w:rPr>
      </w:r>
      <w:r>
        <w:rPr>
          <w:rFonts w:ascii="Georgia" w:hAnsi="Georgia" w:cstheme="minorHAnsi"/>
          <w:sz w:val="24"/>
          <w:szCs w:val="24"/>
        </w:rPr>
      </w:r>
    </w:p>
    <w:p w14:paraId="33C2D606" w14:textId="77777777">
      <w:pPr>
        <w:pBdr/>
        <w:spacing w:after="120" w:line="360" w:lineRule="auto"/>
        <w:ind w:firstLine="700"/>
        <w:jc w:val="both"/>
        <w:rPr>
          <w:rFonts w:ascii="Georgia" w:hAnsi="Georgia" w:cstheme="minorHAnsi"/>
          <w:sz w:val="24"/>
          <w:szCs w:val="24"/>
        </w:rPr>
      </w:pPr>
      <w:r>
        <w:rPr>
          <w:rFonts w:ascii="Georgia" w:hAnsi="Georgia" w:cstheme="minorHAnsi"/>
          <w:sz w:val="24"/>
          <w:szCs w:val="24"/>
        </w:rPr>
      </w:r>
      <w:r>
        <w:rPr>
          <w:rFonts w:ascii="Georgia" w:hAnsi="Georgia" w:cstheme="minorHAnsi"/>
          <w:sz w:val="24"/>
          <w:szCs w:val="24"/>
        </w:rPr>
      </w:r>
    </w:p>
    <w:p w14:paraId="20562E0D" w14:textId="77777777">
      <w:pPr>
        <w:pBdr/>
        <w:spacing w:after="120" w:line="360" w:lineRule="auto"/>
        <w:ind w:firstLine="700"/>
        <w:jc w:val="both"/>
        <w:rPr>
          <w:rFonts w:ascii="Georgia" w:hAnsi="Georgia" w:cstheme="minorHAnsi"/>
          <w:sz w:val="24"/>
          <w:szCs w:val="24"/>
        </w:rPr>
      </w:pPr>
      <w:r>
        <w:rPr>
          <w:rFonts w:ascii="Georgia" w:hAnsi="Georgia" w:cstheme="minorHAnsi"/>
          <w:sz w:val="24"/>
          <w:szCs w:val="24"/>
        </w:rPr>
      </w:r>
      <w:r>
        <w:rPr>
          <w:rFonts w:ascii="Georgia" w:hAnsi="Georgia" w:cstheme="minorHAnsi"/>
          <w:sz w:val="24"/>
          <w:szCs w:val="24"/>
        </w:rPr>
      </w:r>
    </w:p>
    <w:p w14:paraId="7282787F" w14:textId="77777777">
      <w:pPr>
        <w:pBdr/>
        <w:spacing w:after="120" w:line="360" w:lineRule="auto"/>
        <w:ind w:firstLine="700"/>
        <w:jc w:val="both"/>
        <w:rPr>
          <w:rFonts w:ascii="Georgia" w:hAnsi="Georgia" w:cstheme="minorHAnsi"/>
          <w:b/>
          <w:sz w:val="24"/>
          <w:szCs w:val="24"/>
        </w:rPr>
      </w:pPr>
      <w:r>
        <w:rPr>
          <w:rFonts w:ascii="Georgia" w:hAnsi="Georgia" w:cstheme="minorHAnsi"/>
          <w:b/>
          <w:sz w:val="24"/>
          <w:szCs w:val="24"/>
        </w:rPr>
      </w:r>
      <w:r>
        <w:rPr>
          <w:rFonts w:ascii="Georgia" w:hAnsi="Georgia" w:cstheme="minorHAnsi"/>
          <w:b/>
          <w:sz w:val="24"/>
          <w:szCs w:val="24"/>
        </w:rPr>
      </w:r>
    </w:p>
    <w:p w14:paraId="6CCACEC7" w14:textId="0CA08848">
      <w:pPr>
        <w:pBdr/>
        <w:spacing w:after="120" w:line="360" w:lineRule="auto"/>
        <w:ind/>
        <w:jc w:val="center"/>
        <w:rPr>
          <w:rFonts w:ascii="Georgia" w:hAnsi="Georgia" w:cstheme="minorHAnsi"/>
          <w:b/>
          <w:sz w:val="24"/>
          <w:szCs w:val="24"/>
        </w:rPr>
      </w:pPr>
      <w:r>
        <w:rPr>
          <w:rFonts w:ascii="Georgia" w:hAnsi="Georgia" w:cstheme="minorHAnsi"/>
          <w:b/>
          <w:sz w:val="24"/>
          <w:szCs w:val="24"/>
        </w:rPr>
        <w:t xml:space="preserve">Figura 1 </w:t>
      </w:r>
      <w:r>
        <w:rPr>
          <w:rFonts w:ascii="Georgia" w:hAnsi="Georgia" w:cstheme="minorHAnsi"/>
          <w:bCs/>
          <w:sz w:val="24"/>
          <w:szCs w:val="24"/>
        </w:rPr>
        <w:t xml:space="preserve">– Região Geográfica Imediata de Alfenas-MG</w:t>
      </w:r>
      <w:r>
        <w:rPr>
          <w:rFonts w:ascii="Georgia" w:hAnsi="Georgia" w:cstheme="minorHAnsi"/>
          <w:b/>
          <w:sz w:val="24"/>
          <w:szCs w:val="24"/>
        </w:rPr>
      </w:r>
    </w:p>
    <w:p w14:paraId="3B6BAABE" w14:textId="77777777">
      <w:pPr>
        <w:pBdr/>
        <w:spacing w:after="120" w:line="360" w:lineRule="auto"/>
        <w:ind/>
        <w:jc w:val="center"/>
        <w:rPr>
          <w:rFonts w:ascii="Georgia" w:hAnsi="Georgia" w:cstheme="minorHAnsi"/>
          <w:b/>
          <w:sz w:val="24"/>
          <w:szCs w:val="24"/>
        </w:rPr>
      </w:pPr>
      <w:r>
        <w:rPr>
          <w:rFonts w:ascii="Georgia" w:hAnsi="Georgia" w:cstheme="minorHAnsi"/>
          <w:b/>
          <w:sz w:val="24"/>
          <w:szCs w:val="24"/>
        </w:rPr>
        <mc:AlternateContent>
          <mc:Choice Requires="wpg">
            <w:drawing>
              <wp:inline xmlns:wp="http://schemas.openxmlformats.org/drawingml/2006/wordprocessingDrawing" distT="0" distB="0" distL="0" distR="0">
                <wp:extent cx="3855720" cy="2865120"/>
                <wp:effectExtent l="0" t="0" r="0" b="0"/>
                <wp:docPr id="6" name="image17.png"/>
                <wp:cNvGraphicFramePr/>
                <a:graphic xmlns:a="http://schemas.openxmlformats.org/drawingml/2006/main">
                  <a:graphicData uri="http://schemas.openxmlformats.org/drawingml/2006/picture">
                    <pic:pic xmlns:pic="http://schemas.openxmlformats.org/drawingml/2006/picture">
                      <pic:nvPicPr>
                        <pic:cNvPr id="0" name="image17.png"/>
                        <pic:cNvPicPr/>
                        <pic:nvPr/>
                      </pic:nvPicPr>
                      <pic:blipFill rotWithShape="1">
                        <a:blip r:embed="rId12"/>
                        <a:stretch/>
                      </pic:blipFill>
                      <pic:spPr bwMode="auto">
                        <a:xfrm>
                          <a:off x="0" y="0"/>
                          <a:ext cx="3855720" cy="2865120"/>
                        </a:xfrm>
                        <a:prstGeom prst="rect">
                          <a:avLst/>
                        </a:prstGeom>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303.60pt;height:225.60pt;mso-wrap-distance-left:0.00pt;mso-wrap-distance-top:0.00pt;mso-wrap-distance-right:0.00pt;mso-wrap-distance-bottom:0.00pt;z-index:1;">
                <v:imagedata r:id="rId12" o:title=""/>
                <o:lock v:ext="edit" rotation="t"/>
              </v:shape>
            </w:pict>
          </mc:Fallback>
        </mc:AlternateContent>
      </w:r>
      <w:r>
        <w:rPr>
          <w:rFonts w:ascii="Georgia" w:hAnsi="Georgia" w:cstheme="minorHAnsi"/>
          <w:b/>
          <w:sz w:val="24"/>
          <w:szCs w:val="24"/>
        </w:rPr>
      </w:r>
    </w:p>
    <w:p w14:paraId="2C821E01" w14:textId="77777777">
      <w:pPr>
        <w:pBdr/>
        <w:spacing w:after="120" w:line="360" w:lineRule="auto"/>
        <w:ind w:left="283"/>
        <w:jc w:val="center"/>
        <w:rPr>
          <w:rFonts w:ascii="Georgia" w:hAnsi="Georgia" w:cstheme="minorHAnsi"/>
          <w:sz w:val="20"/>
          <w:szCs w:val="20"/>
        </w:rPr>
      </w:pPr>
      <w:r>
        <w:rPr>
          <w:rFonts w:ascii="Georgia" w:hAnsi="Georgia" w:cstheme="minorHAnsi"/>
          <w:sz w:val="20"/>
          <w:szCs w:val="20"/>
        </w:rPr>
        <w:t xml:space="preserve">Elaboração: André Luiz da Silva Bellini, 2024.</w:t>
      </w:r>
      <w:r>
        <w:rPr>
          <w:rFonts w:ascii="Georgia" w:hAnsi="Georgia" w:cstheme="minorHAnsi"/>
          <w:sz w:val="20"/>
          <w:szCs w:val="20"/>
        </w:rPr>
      </w:r>
    </w:p>
    <w:p w14:paraId="16C5E42F" w14:textId="77777777">
      <w:pPr>
        <w:pBdr/>
        <w:spacing w:after="120" w:line="360" w:lineRule="auto"/>
        <w:ind w:firstLine="700"/>
        <w:jc w:val="both"/>
        <w:rPr>
          <w:rFonts w:ascii="Georgia" w:hAnsi="Georgia" w:cstheme="minorHAnsi"/>
          <w:sz w:val="24"/>
          <w:szCs w:val="24"/>
        </w:rPr>
      </w:pPr>
      <w:r>
        <w:rPr>
          <w:rFonts w:ascii="Georgia" w:hAnsi="Georgia" w:cstheme="minorHAnsi"/>
          <w:sz w:val="24"/>
          <w:szCs w:val="24"/>
        </w:rPr>
        <w:t xml:space="preserve">Colocam-se como os principais objetivos desta pesquisa: compreender como se formou a rede urbana do Sul de Minas, com e</w:t>
      </w:r>
      <w:r>
        <w:rPr>
          <w:rFonts w:ascii="Georgia" w:hAnsi="Georgia" w:cstheme="minorHAnsi"/>
          <w:sz w:val="24"/>
          <w:szCs w:val="24"/>
        </w:rPr>
        <w:t xml:space="preserve">nfoque na Região Imediata de Alfenas, como se transformou e quais padrões espaciais adquiriu, especialmente a partir de meados do século XX, quando os processos de industrialização e urbanização avançaram no país, articulando uma rede urbana mais complexa.</w:t>
      </w:r>
      <w:r>
        <w:rPr>
          <w:rFonts w:ascii="Georgia" w:hAnsi="Georgia" w:cstheme="minorHAnsi"/>
          <w:sz w:val="24"/>
          <w:szCs w:val="24"/>
        </w:rPr>
      </w:r>
    </w:p>
    <w:p w14:paraId="70843BDB" w14:textId="2F2F1EF3">
      <w:pPr>
        <w:pBdr/>
        <w:spacing w:after="120" w:line="360" w:lineRule="auto"/>
        <w:ind w:firstLine="700"/>
        <w:jc w:val="both"/>
        <w:rPr>
          <w:rFonts w:ascii="Georgia" w:hAnsi="Georgia" w:cstheme="minorHAnsi"/>
          <w:sz w:val="24"/>
          <w:szCs w:val="24"/>
        </w:rPr>
      </w:pPr>
      <w:r>
        <w:rPr>
          <w:rFonts w:ascii="Georgia" w:hAnsi="Georgia" w:cstheme="minorHAnsi"/>
          <w:sz w:val="24"/>
          <w:szCs w:val="24"/>
        </w:rPr>
        <w:t xml:space="preserve">Adicionalmente, procura-se verificar as consequências da polarização d</w:t>
      </w:r>
      <w:r>
        <w:rPr>
          <w:rFonts w:ascii="Georgia" w:hAnsi="Georgia" w:cstheme="minorHAnsi"/>
          <w:sz w:val="24"/>
          <w:szCs w:val="24"/>
        </w:rPr>
        <w:t xml:space="preserve">e Alfenas em relação aos demais municípios da região imediata, especialmente a partir da maior articulação entre estes, a tendência à diferenciação e especialização, implica no aumento das disparidades socioeconômicas nas escalas interurbana e intraurbana.</w:t>
      </w:r>
      <w:r>
        <w:rPr>
          <w:rFonts w:ascii="Georgia" w:hAnsi="Georgia" w:cstheme="minorHAnsi"/>
          <w:sz w:val="24"/>
          <w:szCs w:val="24"/>
        </w:rPr>
      </w:r>
    </w:p>
    <w:p w14:paraId="36445C25" w14:textId="77777777">
      <w:pPr>
        <w:pBdr/>
        <w:spacing w:after="120" w:line="360" w:lineRule="auto"/>
        <w:ind w:firstLine="700"/>
        <w:jc w:val="both"/>
        <w:rPr>
          <w:rFonts w:ascii="Georgia" w:hAnsi="Georgia" w:cstheme="minorHAnsi"/>
          <w:sz w:val="24"/>
          <w:szCs w:val="24"/>
        </w:rPr>
      </w:pPr>
      <w:r>
        <w:rPr>
          <w:rFonts w:ascii="Georgia" w:hAnsi="Georgia" w:cstheme="minorHAnsi"/>
          <w:sz w:val="24"/>
          <w:szCs w:val="24"/>
        </w:rPr>
        <w:t xml:space="preserve">Este </w:t>
      </w:r>
      <w:r>
        <w:rPr>
          <w:rFonts w:ascii="Georgia" w:hAnsi="Georgia" w:cstheme="minorHAnsi"/>
          <w:sz w:val="24"/>
          <w:szCs w:val="24"/>
        </w:rPr>
        <w:t xml:space="preserve">artigo faz parte do Projeto de Pesquisa “O papel da universidade pública no desenvolvimento regional: a UNIFAL-MG e as práticas espaciais na Região Imediata de Alfenas-MG”, e tem o apoio da Fundação de Amparo à Pesquisa do Estado de Minas Gerais – FAPEMIG.</w:t>
      </w:r>
      <w:r>
        <w:rPr>
          <w:rFonts w:ascii="Georgia" w:hAnsi="Georgia" w:cstheme="minorHAnsi"/>
          <w:sz w:val="24"/>
          <w:szCs w:val="24"/>
        </w:rPr>
      </w:r>
    </w:p>
    <w:p w14:paraId="5FFB4FC1" w14:textId="77777777">
      <w:pPr>
        <w:pBdr/>
        <w:spacing w:after="120" w:line="360" w:lineRule="auto"/>
        <w:ind/>
        <w:jc w:val="both"/>
        <w:rPr>
          <w:rFonts w:ascii="Georgia" w:hAnsi="Georgia" w:cstheme="minorHAnsi"/>
          <w:b/>
          <w:bCs/>
          <w:sz w:val="24"/>
          <w:szCs w:val="24"/>
        </w:rPr>
      </w:pPr>
      <w:r>
        <w:rPr>
          <w:rFonts w:ascii="Georgia" w:hAnsi="Georgia" w:cstheme="minorHAnsi"/>
          <w:b/>
          <w:bCs/>
          <w:sz w:val="24"/>
          <w:szCs w:val="24"/>
        </w:rPr>
        <w:t xml:space="preserve">Metodologia</w:t>
      </w:r>
      <w:r>
        <w:rPr>
          <w:rFonts w:ascii="Georgia" w:hAnsi="Georgia" w:cstheme="minorHAnsi"/>
          <w:b/>
          <w:bCs/>
          <w:sz w:val="24"/>
          <w:szCs w:val="24"/>
        </w:rPr>
      </w:r>
    </w:p>
    <w:p w14:paraId="472F8564" w14:textId="208653BF">
      <w:pPr>
        <w:pBdr/>
        <w:spacing w:after="120" w:line="360" w:lineRule="auto"/>
        <w:ind w:firstLine="700"/>
        <w:jc w:val="both"/>
        <w:rPr>
          <w:rFonts w:ascii="Georgia" w:hAnsi="Georgia" w:cstheme="minorHAnsi"/>
          <w:b/>
          <w:bCs/>
          <w:sz w:val="24"/>
          <w:szCs w:val="24"/>
        </w:rPr>
      </w:pPr>
      <w:r>
        <w:rPr>
          <w:rFonts w:ascii="Georgia" w:hAnsi="Georgia" w:cstheme="minorHAnsi"/>
          <w:sz w:val="24"/>
          <w:szCs w:val="24"/>
        </w:rPr>
        <w:t xml:space="preserve">Para além do fator quantitativo do tamanho populacional, expressando uma dialética entre quantidade e qualidade, considera-se as diferenças qualitativas entre as cidades da região imediata em termos de divisão do trabalho </w:t>
      </w:r>
      <w:r>
        <w:rPr>
          <w:rFonts w:ascii="Georgia" w:hAnsi="Georgia" w:cstheme="minorHAnsi"/>
          <w:sz w:val="24"/>
          <w:szCs w:val="24"/>
        </w:rPr>
        <w:t xml:space="preserve">e interações espaciais. Outro movimento importante diz respeito à articulação das escalas intraurbana e regional, neste caso o espaço urbano de Alfenas e as suas interações com a região imediata, assim como do sul de Minas Gerais.</w:t>
      </w:r>
      <w:r>
        <w:rPr>
          <w:rFonts w:ascii="Georgia" w:hAnsi="Georgia" w:cstheme="minorHAnsi"/>
          <w:b/>
          <w:bCs/>
          <w:sz w:val="24"/>
          <w:szCs w:val="24"/>
        </w:rPr>
      </w:r>
    </w:p>
    <w:p w14:paraId="051D24D9" w14:textId="5C477763">
      <w:pPr>
        <w:pBdr/>
        <w:spacing w:after="120" w:line="360" w:lineRule="auto"/>
        <w:ind w:firstLine="700"/>
        <w:jc w:val="both"/>
        <w:rPr>
          <w:rFonts w:ascii="Georgia" w:hAnsi="Georgia" w:cstheme="minorHAnsi"/>
          <w:sz w:val="24"/>
          <w:szCs w:val="24"/>
        </w:rPr>
      </w:pPr>
      <w:r>
        <w:rPr>
          <w:rFonts w:ascii="Georgia" w:hAnsi="Georgia" w:cstheme="minorHAnsi"/>
          <w:sz w:val="24"/>
          <w:szCs w:val="24"/>
        </w:rPr>
        <w:t xml:space="preserve">Os procedimentos metodológicos são apoiados em pesquisa bibliográfica de livros, artigos e teses </w:t>
      </w:r>
      <w:r>
        <w:rPr>
          <w:rFonts w:ascii="Georgia" w:hAnsi="Georgia" w:cstheme="minorHAnsi"/>
          <w:sz w:val="24"/>
          <w:szCs w:val="24"/>
        </w:rPr>
        <w:t xml:space="preserve">referentes mais diretamente aos temas de Geografia Urbana assim como os que envolvem as cidades de Alfenas, de seu espaço intraurbano, de sua região imediata e da rede urbana no sul de Minas Gerais, buscando articular essas diferentes escalas geográficas. </w:t>
      </w:r>
      <w:r>
        <w:rPr>
          <w:rFonts w:ascii="Georgia" w:hAnsi="Georgia" w:cstheme="minorHAnsi"/>
          <w:sz w:val="24"/>
          <w:szCs w:val="24"/>
        </w:rPr>
      </w:r>
    </w:p>
    <w:p w14:paraId="4A1B524D" w14:textId="26D1F064">
      <w:pPr>
        <w:pBdr/>
        <w:spacing w:after="120" w:line="360" w:lineRule="auto"/>
        <w:ind w:firstLine="700"/>
        <w:jc w:val="both"/>
        <w:rPr>
          <w:rFonts w:ascii="Georgia" w:hAnsi="Georgia" w:cstheme="minorHAnsi"/>
          <w:sz w:val="24"/>
          <w:szCs w:val="24"/>
        </w:rPr>
      </w:pPr>
      <w:r>
        <w:rPr>
          <w:rFonts w:ascii="Georgia" w:hAnsi="Georgia" w:cstheme="minorHAnsi"/>
          <w:sz w:val="24"/>
          <w:szCs w:val="24"/>
        </w:rPr>
        <w:t xml:space="preserve">Para a classificação dessas cidades segundo a hierarquia urbana, apoiou-se nos trabalhos oficiais do IBGE: </w:t>
      </w:r>
      <w:r>
        <w:rPr>
          <w:rFonts w:ascii="Georgia" w:hAnsi="Georgia" w:cstheme="minorHAnsi"/>
          <w:i/>
          <w:iCs/>
          <w:sz w:val="24"/>
          <w:szCs w:val="24"/>
        </w:rPr>
        <w:t xml:space="preserve">Regiões de influência das cidades</w:t>
      </w:r>
      <w:r>
        <w:rPr>
          <w:rFonts w:ascii="Georgia" w:hAnsi="Georgia" w:cstheme="minorHAnsi"/>
          <w:sz w:val="24"/>
          <w:szCs w:val="24"/>
        </w:rPr>
        <w:t xml:space="preserve">, 2018 e </w:t>
      </w:r>
      <w:r>
        <w:rPr>
          <w:rFonts w:ascii="Georgia" w:hAnsi="Georgia" w:cstheme="minorHAnsi"/>
          <w:i/>
          <w:iCs/>
          <w:sz w:val="24"/>
          <w:szCs w:val="24"/>
        </w:rPr>
        <w:t xml:space="preserve">Divisão regional do Brasil em regiões geográficas imediatas e regiões geográficas intermediárias</w:t>
      </w:r>
      <w:r>
        <w:rPr>
          <w:rFonts w:ascii="Georgia" w:hAnsi="Georgia" w:cstheme="minorHAnsi"/>
          <w:sz w:val="24"/>
          <w:szCs w:val="24"/>
        </w:rPr>
        <w:t xml:space="preserve">, 2018. Adicionalmente, baseou-se em pesquisa </w:t>
      </w:r>
      <w:r>
        <w:rPr>
          <w:rFonts w:ascii="Georgia" w:hAnsi="Georgia" w:cstheme="minorHAnsi"/>
          <w:sz w:val="24"/>
          <w:szCs w:val="24"/>
        </w:rPr>
        <w:t xml:space="preserve">de </w:t>
      </w:r>
      <w:r>
        <w:rPr>
          <w:rFonts w:ascii="Georgia" w:hAnsi="Georgia" w:cstheme="minorHAnsi"/>
          <w:sz w:val="24"/>
          <w:szCs w:val="24"/>
        </w:rPr>
        <w:t xml:space="preserve">dados primários da Prefeitura Municipal de Alfenas e da Universidade Federal de Alfenas, e dados secundários em órgãos institucionais, como IBGE, RAIS/CAGED, SUS, INEP, SEF/MG, SECEX; </w:t>
      </w:r>
      <w:r>
        <w:rPr>
          <w:rFonts w:ascii="Georgia" w:hAnsi="Georgia" w:cstheme="minorHAnsi"/>
          <w:sz w:val="24"/>
          <w:szCs w:val="24"/>
        </w:rPr>
        <w:t xml:space="preserve">além de </w:t>
      </w:r>
      <w:r>
        <w:rPr>
          <w:rFonts w:ascii="Georgia" w:hAnsi="Georgia" w:cstheme="minorHAnsi"/>
          <w:sz w:val="24"/>
          <w:szCs w:val="24"/>
        </w:rPr>
        <w:t xml:space="preserve">levantamento e confecção de material cartográfico. </w:t>
      </w:r>
      <w:r>
        <w:rPr>
          <w:rFonts w:ascii="Georgia" w:hAnsi="Georgia" w:cstheme="minorHAnsi"/>
          <w:sz w:val="24"/>
          <w:szCs w:val="24"/>
        </w:rPr>
      </w:r>
    </w:p>
    <w:p w14:paraId="1C8BE128" w14:textId="77777777">
      <w:pPr>
        <w:pBdr/>
        <w:spacing w:after="120" w:line="360" w:lineRule="auto"/>
        <w:ind/>
        <w:jc w:val="both"/>
        <w:rPr>
          <w:rFonts w:ascii="Georgia" w:hAnsi="Georgia" w:cstheme="minorHAnsi"/>
          <w:b/>
          <w:sz w:val="24"/>
          <w:szCs w:val="24"/>
        </w:rPr>
      </w:pPr>
      <w:r>
        <w:rPr>
          <w:rFonts w:ascii="Georgia" w:hAnsi="Georgia" w:cstheme="minorHAnsi"/>
          <w:b/>
          <w:sz w:val="24"/>
          <w:szCs w:val="24"/>
        </w:rPr>
        <w:t xml:space="preserve">A rede urbana e as interações das cidades médias e pequenas</w:t>
      </w:r>
      <w:r>
        <w:rPr>
          <w:rFonts w:ascii="Georgia" w:hAnsi="Georgia" w:cstheme="minorHAnsi"/>
          <w:b/>
          <w:sz w:val="24"/>
          <w:szCs w:val="24"/>
        </w:rPr>
      </w:r>
    </w:p>
    <w:p w14:paraId="3D49815D" w14:textId="77777777">
      <w:pPr>
        <w:pBdr/>
        <w:spacing w:after="120" w:line="360" w:lineRule="auto"/>
        <w:ind/>
        <w:jc w:val="both"/>
        <w:rPr>
          <w:rFonts w:ascii="Georgia" w:hAnsi="Georgia" w:cstheme="minorHAnsi"/>
          <w:sz w:val="24"/>
          <w:szCs w:val="24"/>
        </w:rPr>
      </w:pPr>
      <w:r>
        <w:rPr>
          <w:rFonts w:ascii="Georgia" w:hAnsi="Georgia" w:cstheme="minorHAnsi"/>
          <w:b/>
          <w:sz w:val="24"/>
          <w:szCs w:val="24"/>
        </w:rPr>
        <w:t xml:space="preserve"> </w:t>
      </w:r>
      <w:r>
        <w:rPr>
          <w:rFonts w:ascii="Georgia" w:hAnsi="Georgia" w:cstheme="minorHAnsi"/>
          <w:sz w:val="24"/>
          <w:szCs w:val="24"/>
        </w:rPr>
        <w:tab/>
        <w:t xml:space="preserve">A rede urbana é entendida por Corrêa (2006) como um conjunto de centros funcionalmente articulados, segundo a qual constitui tanto o reflexo de processos de diversos agentes sociais como a condição de reprodução da ex</w:t>
      </w:r>
      <w:r>
        <w:rPr>
          <w:rFonts w:ascii="Georgia" w:hAnsi="Georgia" w:cstheme="minorHAnsi"/>
          <w:sz w:val="24"/>
          <w:szCs w:val="24"/>
        </w:rPr>
        <w:t xml:space="preserve">istência social. Seu dinamismo depende do contexto espaço-temporal de sua formação socioespacial, assim como revela uma dialética em que processos recentes atuam sobre as formas criadas no passado quanto há uma inércia na manutenção das formas no presente.</w:t>
      </w:r>
      <w:r>
        <w:rPr>
          <w:rFonts w:ascii="Georgia" w:hAnsi="Georgia" w:cstheme="minorHAnsi"/>
          <w:sz w:val="24"/>
          <w:szCs w:val="24"/>
        </w:rPr>
      </w:r>
    </w:p>
    <w:p w14:paraId="47F4B1B7" w14:textId="3E845083">
      <w:pPr>
        <w:pBdr/>
        <w:spacing w:after="120" w:line="360" w:lineRule="auto"/>
        <w:ind w:firstLine="700"/>
        <w:jc w:val="both"/>
        <w:rPr>
          <w:rFonts w:ascii="Georgia" w:hAnsi="Georgia" w:cstheme="minorHAnsi"/>
          <w:sz w:val="24"/>
          <w:szCs w:val="24"/>
        </w:rPr>
      </w:pPr>
      <w:r>
        <w:rPr>
          <w:rFonts w:ascii="Georgia" w:hAnsi="Georgia" w:cstheme="minorHAnsi"/>
          <w:sz w:val="24"/>
          <w:szCs w:val="24"/>
        </w:rPr>
        <w:t xml:space="preserve">Com o avanço </w:t>
      </w:r>
      <w:r>
        <w:rPr>
          <w:rFonts w:ascii="Georgia" w:hAnsi="Georgia" w:cstheme="minorHAnsi"/>
          <w:sz w:val="24"/>
          <w:szCs w:val="24"/>
        </w:rPr>
        <w:t xml:space="preserve">dos transportes e </w:t>
      </w:r>
      <w:r>
        <w:rPr>
          <w:rFonts w:ascii="Georgia" w:hAnsi="Georgia" w:cstheme="minorHAnsi"/>
          <w:sz w:val="24"/>
          <w:szCs w:val="24"/>
        </w:rPr>
        <w:t xml:space="preserve">das comunicações, a rede urbana apresenta um maior número de interações envolvendo bens, pessoas, informações, investimentos,</w:t>
      </w:r>
      <w:r>
        <w:rPr>
          <w:rFonts w:ascii="Georgia" w:hAnsi="Georgia" w:cstheme="minorHAnsi"/>
          <w:sz w:val="24"/>
          <w:szCs w:val="24"/>
        </w:rPr>
        <w:t xml:space="preserve"> decisões, denotando um padrão reticular mais complexo em função de uma crescente especialização dos centros urbanos, ou de uma maior divisão territorial do trabalho e, portanto, mais circulação, na qual as cidades tanto complementam suas atividades como c</w:t>
      </w:r>
      <w:r>
        <w:rPr>
          <w:rFonts w:ascii="Georgia" w:hAnsi="Georgia" w:cstheme="minorHAnsi"/>
          <w:sz w:val="24"/>
          <w:szCs w:val="24"/>
        </w:rPr>
        <w:t xml:space="preserve">oncorr</w:t>
      </w:r>
      <w:r>
        <w:rPr>
          <w:rFonts w:ascii="Georgia" w:hAnsi="Georgia" w:cstheme="minorHAnsi"/>
          <w:sz w:val="24"/>
          <w:szCs w:val="24"/>
        </w:rPr>
        <w:t xml:space="preserve">em entre si. Nesse sentido, apresentam uma efetiva hierarquização, na qual os centros urbanos melhor posicionados na rede, em termos de produtividade, localização e mercado, polarizam os demais nos níveis inferiores.</w:t>
      </w:r>
      <w:r>
        <w:rPr>
          <w:rFonts w:ascii="Georgia" w:hAnsi="Georgia" w:cstheme="minorHAnsi"/>
          <w:sz w:val="24"/>
          <w:szCs w:val="24"/>
        </w:rPr>
      </w:r>
    </w:p>
    <w:p w14:paraId="115286A9" w14:textId="2839162F">
      <w:pPr>
        <w:pBdr/>
        <w:spacing w:after="120" w:line="360" w:lineRule="auto"/>
        <w:ind w:firstLine="700"/>
        <w:jc w:val="both"/>
        <w:rPr>
          <w:rFonts w:ascii="Georgia" w:hAnsi="Georgia" w:cstheme="minorHAnsi"/>
          <w:sz w:val="24"/>
          <w:szCs w:val="24"/>
        </w:rPr>
      </w:pPr>
      <w:r>
        <w:rPr>
          <w:rFonts w:ascii="Georgia" w:hAnsi="Georgia" w:cstheme="minorHAnsi"/>
          <w:sz w:val="24"/>
          <w:szCs w:val="24"/>
        </w:rPr>
        <w:t xml:space="preserve">A </w:t>
      </w:r>
      <w:r>
        <w:rPr>
          <w:rFonts w:ascii="Georgia" w:hAnsi="Georgia" w:cstheme="minorHAnsi"/>
          <w:i/>
          <w:sz w:val="24"/>
          <w:szCs w:val="24"/>
        </w:rPr>
        <w:t xml:space="preserve">refuncionalização</w:t>
      </w:r>
      <w:r>
        <w:rPr>
          <w:rFonts w:ascii="Georgia" w:hAnsi="Georgia" w:cstheme="minorHAnsi"/>
          <w:sz w:val="24"/>
          <w:szCs w:val="24"/>
        </w:rPr>
        <w:t xml:space="preserve">, no contexto de uma rede mais articulada e competitiva, re</w:t>
      </w:r>
      <w:r>
        <w:rPr>
          <w:rFonts w:ascii="Georgia" w:hAnsi="Georgia" w:cstheme="minorHAnsi"/>
          <w:sz w:val="24"/>
          <w:szCs w:val="24"/>
        </w:rPr>
        <w:t xml:space="preserve">mete</w:t>
      </w:r>
      <w:r>
        <w:rPr>
          <w:rFonts w:ascii="Georgia" w:hAnsi="Georgia" w:cstheme="minorHAnsi"/>
          <w:sz w:val="24"/>
          <w:szCs w:val="24"/>
        </w:rPr>
        <w:t xml:space="preserve"> à busca das cidades por uma especialização econômica que a</w:t>
      </w:r>
      <w:r>
        <w:rPr>
          <w:rFonts w:ascii="Georgia" w:hAnsi="Georgia" w:cstheme="minorHAnsi"/>
          <w:sz w:val="24"/>
          <w:szCs w:val="24"/>
        </w:rPr>
        <w:t xml:space="preserve">s</w:t>
      </w:r>
      <w:r>
        <w:rPr>
          <w:rFonts w:ascii="Georgia" w:hAnsi="Georgia" w:cstheme="minorHAnsi"/>
          <w:sz w:val="24"/>
          <w:szCs w:val="24"/>
        </w:rPr>
        <w:t xml:space="preserve"> situem de modo mais vantajoso na conquista de mercados, aumentando a polarização sobre as demais cidades da rede urbana (Corrêa, 2006). Assim, a tendência é uma maior diferenciação entre </w:t>
      </w:r>
      <w:r>
        <w:rPr>
          <w:rFonts w:ascii="Georgia" w:hAnsi="Georgia" w:cstheme="minorHAnsi"/>
          <w:sz w:val="24"/>
          <w:szCs w:val="24"/>
        </w:rPr>
        <w:t xml:space="preserve">os centros na rede, em função das condições diversas destes em termos de infraestrutura, mão de obra com menores custos e ou especializada, logística e política de subsídios, o que se convencionou de “guerra fiscal” ou “guerra dos lugares” (Santos, 2006). </w:t>
      </w:r>
      <w:r>
        <w:rPr>
          <w:rFonts w:ascii="Georgia" w:hAnsi="Georgia" w:cstheme="minorHAnsi"/>
          <w:sz w:val="24"/>
          <w:szCs w:val="24"/>
        </w:rPr>
      </w:r>
    </w:p>
    <w:p w14:paraId="2604B852" w14:textId="03D45BED">
      <w:pPr>
        <w:pBdr/>
        <w:spacing w:after="120" w:line="360" w:lineRule="auto"/>
        <w:ind w:firstLine="700"/>
        <w:jc w:val="both"/>
        <w:rPr>
          <w:rFonts w:ascii="Georgia" w:hAnsi="Georgia" w:cstheme="minorHAnsi"/>
          <w:sz w:val="24"/>
          <w:szCs w:val="24"/>
        </w:rPr>
      </w:pPr>
      <w:r>
        <w:rPr>
          <w:rFonts w:ascii="Georgia" w:hAnsi="Georgia" w:cstheme="minorHAnsi"/>
          <w:sz w:val="24"/>
          <w:szCs w:val="24"/>
        </w:rPr>
        <w:t xml:space="preserve">A reestruturação urbano-industrial, especialmente a partir da década de 1970, quando empresas se deslocam das regiões metropolitanas para cidades médias e pequenas do interior em busca de redução dos custos produtivos, visa</w:t>
      </w:r>
      <w:r>
        <w:rPr>
          <w:rFonts w:ascii="Georgia" w:hAnsi="Georgia" w:cstheme="minorHAnsi"/>
          <w:sz w:val="24"/>
          <w:szCs w:val="24"/>
        </w:rPr>
        <w:t xml:space="preserve">ra</w:t>
      </w:r>
      <w:r>
        <w:rPr>
          <w:rFonts w:ascii="Georgia" w:hAnsi="Georgia" w:cstheme="minorHAnsi"/>
          <w:sz w:val="24"/>
          <w:szCs w:val="24"/>
        </w:rPr>
        <w:t xml:space="preserve">m localidades com distâncias até 150 quilômetros, estendendo-se ao longo dos principais eixos rodoviários, com infraestruturas e mão de obra de menor custo (</w:t>
      </w:r>
      <w:r>
        <w:rPr>
          <w:rFonts w:ascii="Georgia" w:hAnsi="Georgia" w:cstheme="minorHAnsi"/>
          <w:sz w:val="24"/>
          <w:szCs w:val="24"/>
        </w:rPr>
        <w:t xml:space="preserve">Lencioni</w:t>
      </w:r>
      <w:r>
        <w:rPr>
          <w:rFonts w:ascii="Georgia" w:hAnsi="Georgia" w:cstheme="minorHAnsi"/>
          <w:sz w:val="24"/>
          <w:szCs w:val="24"/>
        </w:rPr>
        <w:t xml:space="preserve">, 1996). A autora diferenciou os processos de desconcentração e de descentralização, pois houve uma desconcentração de fases da produção material, mas não uma descentraliza</w:t>
      </w:r>
      <w:r>
        <w:rPr>
          <w:rFonts w:ascii="Georgia" w:hAnsi="Georgia" w:cstheme="minorHAnsi"/>
          <w:sz w:val="24"/>
          <w:szCs w:val="24"/>
        </w:rPr>
        <w:t xml:space="preserve">ção do poder econômico. As sedes das grandes empresas e o setor financeiro continuaram nas metrópoles, onde as decisões são tomadas, as quais tornaram-se “metrópoles terciárias”, em um contexto de revolução tecnológica, produção flexível e financeirização.</w:t>
      </w:r>
      <w:r>
        <w:rPr>
          <w:rFonts w:ascii="Georgia" w:hAnsi="Georgia" w:cstheme="minorHAnsi"/>
          <w:sz w:val="24"/>
          <w:szCs w:val="24"/>
        </w:rPr>
      </w:r>
    </w:p>
    <w:p w14:paraId="1E1FDABD" w14:textId="14BABE01">
      <w:pPr>
        <w:pBdr/>
        <w:spacing w:after="120" w:line="360" w:lineRule="auto"/>
        <w:ind/>
        <w:jc w:val="both"/>
        <w:rPr>
          <w:rFonts w:ascii="Georgia" w:hAnsi="Georgia" w:cstheme="minorHAnsi"/>
          <w:sz w:val="24"/>
          <w:szCs w:val="24"/>
        </w:rPr>
      </w:pPr>
      <w:r>
        <w:rPr>
          <w:rFonts w:ascii="Georgia" w:hAnsi="Georgia" w:cstheme="minorHAnsi"/>
          <w:sz w:val="24"/>
          <w:szCs w:val="24"/>
        </w:rPr>
        <w:t xml:space="preserve">        </w:t>
      </w:r>
      <w:r>
        <w:rPr>
          <w:rFonts w:ascii="Georgia" w:hAnsi="Georgia" w:cstheme="minorHAnsi"/>
          <w:sz w:val="24"/>
          <w:szCs w:val="24"/>
        </w:rPr>
        <w:tab/>
        <w:t xml:space="preserve">Com relação aos pressupostos de cidade média, de um modo geral, Corrêa (2007) assinala uma particular combinação envolvendo o tamanho demográfico, funções urbanas e organização de seu espaço intraurbano,</w:t>
      </w:r>
      <w:r>
        <w:rPr>
          <w:rFonts w:ascii="Georgia" w:hAnsi="Georgia" w:cstheme="minorHAnsi"/>
          <w:sz w:val="24"/>
          <w:szCs w:val="24"/>
        </w:rPr>
        <w:t xml:space="preserve"> considerando o seu contexto geográfico (regional). Os três pressupostos influenciam-se mutuamente, pois um maior tamanho demográfico pode levar ao incremento das funções urbanas e de uma configuração mais complexa de seu espaço intraurbano e inversamente.</w:t>
      </w:r>
      <w:r>
        <w:rPr>
          <w:rFonts w:ascii="Georgia" w:hAnsi="Georgia" w:cstheme="minorHAnsi"/>
          <w:sz w:val="24"/>
          <w:szCs w:val="24"/>
        </w:rPr>
      </w:r>
    </w:p>
    <w:p w14:paraId="471739EF" w14:textId="7BDA650D">
      <w:pPr>
        <w:pBdr/>
        <w:spacing w:after="120" w:line="360" w:lineRule="auto"/>
        <w:ind w:firstLine="700"/>
        <w:jc w:val="both"/>
        <w:rPr>
          <w:rFonts w:ascii="Georgia" w:hAnsi="Georgia" w:cstheme="minorHAnsi"/>
          <w:sz w:val="24"/>
          <w:szCs w:val="24"/>
        </w:rPr>
      </w:pPr>
      <w:r>
        <w:rPr>
          <w:rFonts w:ascii="Georgia" w:hAnsi="Georgia" w:cstheme="minorHAnsi"/>
          <w:sz w:val="24"/>
          <w:szCs w:val="24"/>
        </w:rPr>
        <w:t xml:space="preserve">Assim como a consideração do contexto espacial, o contexto temporal também é importante para a classificação das cidades, como afirma Santos (2002), pois uma cidade com 20 mil habitantes na década de 1960 no Brasil poderia ser considerada uma cidade médi</w:t>
      </w:r>
      <w:r>
        <w:rPr>
          <w:rFonts w:ascii="Georgia" w:hAnsi="Georgia" w:cstheme="minorHAnsi"/>
          <w:sz w:val="24"/>
          <w:szCs w:val="24"/>
        </w:rPr>
        <w:t xml:space="preserve">a</w:t>
      </w:r>
      <w:r>
        <w:rPr>
          <w:rFonts w:ascii="Georgia" w:hAnsi="Georgia" w:cstheme="minorHAnsi"/>
          <w:sz w:val="24"/>
          <w:szCs w:val="24"/>
        </w:rPr>
        <w:t xml:space="preserve">. Enquanto que na década de 1990, o autor considerava para este porte de cidade o limiar de 100 mil habitantes.</w:t>
      </w:r>
      <w:r>
        <w:rPr>
          <w:rFonts w:ascii="Georgia" w:hAnsi="Georgia" w:cstheme="minorHAnsi"/>
          <w:sz w:val="24"/>
          <w:szCs w:val="24"/>
        </w:rPr>
      </w:r>
    </w:p>
    <w:p w14:paraId="61166548" w14:textId="5B17EE39">
      <w:pPr>
        <w:pBdr/>
        <w:spacing w:after="120" w:line="360" w:lineRule="auto"/>
        <w:ind w:firstLine="700"/>
        <w:jc w:val="both"/>
        <w:rPr>
          <w:rFonts w:ascii="Georgia" w:hAnsi="Georgia" w:cstheme="minorHAnsi"/>
          <w:sz w:val="24"/>
          <w:szCs w:val="24"/>
        </w:rPr>
      </w:pPr>
      <w:r>
        <w:rPr>
          <w:rFonts w:ascii="Georgia" w:hAnsi="Georgia" w:cstheme="minorHAnsi"/>
          <w:sz w:val="24"/>
          <w:szCs w:val="24"/>
        </w:rPr>
        <w:t xml:space="preserve">A cidade média só pode ser entendida relativamente à rede urbana, na qual constitui um importante nó, daí a importância da articulação das escalas local e </w:t>
      </w:r>
      <w:r>
        <w:rPr>
          <w:rFonts w:ascii="Georgia" w:hAnsi="Georgia" w:cstheme="minorHAnsi"/>
          <w:sz w:val="24"/>
          <w:szCs w:val="24"/>
        </w:rPr>
        <w:t xml:space="preserve">regional, neste caso relativas às interações do espaço intraurbano e o da rede urbana. Nesse aspecto, d</w:t>
      </w:r>
      <w:r>
        <w:rPr>
          <w:rFonts w:ascii="Georgia" w:hAnsi="Georgia" w:cstheme="minorHAnsi"/>
          <w:sz w:val="24"/>
          <w:szCs w:val="24"/>
        </w:rPr>
        <w:t xml:space="preserve">e acordo com Corrêa (2007), as cidades médias devem ser consideradas como um estado transitório. Com relação às funções das cidades médias, o autor elenca os seguintes tipos principais: de lugar central; de drenagem e consumo da renda fundiária; industrial</w:t>
      </w:r>
      <w:r>
        <w:rPr>
          <w:rFonts w:ascii="Georgia" w:hAnsi="Georgia" w:cstheme="minorHAnsi"/>
          <w:sz w:val="24"/>
          <w:szCs w:val="24"/>
        </w:rPr>
        <w:t xml:space="preserve">;</w:t>
      </w:r>
      <w:r>
        <w:rPr>
          <w:rFonts w:ascii="Georgia" w:hAnsi="Georgia" w:cstheme="minorHAnsi"/>
          <w:sz w:val="24"/>
          <w:szCs w:val="24"/>
        </w:rPr>
        <w:t xml:space="preserve"> portuária</w:t>
      </w:r>
      <w:r>
        <w:rPr>
          <w:rFonts w:ascii="Georgia" w:hAnsi="Georgia" w:cstheme="minorHAnsi"/>
          <w:sz w:val="24"/>
          <w:szCs w:val="24"/>
        </w:rPr>
        <w:t xml:space="preserve">;</w:t>
      </w:r>
      <w:r>
        <w:rPr>
          <w:rFonts w:ascii="Georgia" w:hAnsi="Georgia" w:cstheme="minorHAnsi"/>
          <w:sz w:val="24"/>
          <w:szCs w:val="24"/>
        </w:rPr>
        <w:t xml:space="preserve"> e de capital. Estas funções também podem aparecer combinadas.</w:t>
      </w:r>
      <w:r>
        <w:rPr>
          <w:rFonts w:ascii="Georgia" w:hAnsi="Georgia" w:cstheme="minorHAnsi"/>
          <w:sz w:val="24"/>
          <w:szCs w:val="24"/>
        </w:rPr>
      </w:r>
    </w:p>
    <w:p w14:paraId="000EC4AE" w14:textId="401AF3F2">
      <w:pPr>
        <w:pBdr/>
        <w:spacing w:after="120" w:line="360" w:lineRule="auto"/>
        <w:ind w:firstLine="697"/>
        <w:jc w:val="both"/>
        <w:rPr>
          <w:rFonts w:ascii="Georgia" w:hAnsi="Georgia" w:cstheme="minorHAnsi"/>
          <w:sz w:val="24"/>
          <w:szCs w:val="24"/>
        </w:rPr>
      </w:pPr>
      <w:r>
        <w:rPr>
          <w:rFonts w:ascii="Georgia" w:hAnsi="Georgia" w:cstheme="minorHAnsi"/>
          <w:sz w:val="24"/>
          <w:szCs w:val="24"/>
        </w:rPr>
        <w:t xml:space="preserve">Essas características assumem configurações espaciais dist</w:t>
      </w:r>
      <w:r>
        <w:rPr>
          <w:rFonts w:ascii="Georgia" w:hAnsi="Georgia" w:cstheme="minorHAnsi"/>
          <w:sz w:val="24"/>
          <w:szCs w:val="24"/>
        </w:rPr>
        <w:t xml:space="preserve">intas na escala intraurbana. Nesse aspecto, Amorim Filho e Sena Filho (2007) propõem um zoneamento morfológico funcional das cidades médias mineiras, marcadas por diferenças significativas, seja entre este porte de cidade ou em relação às cidades pequenas.</w:t>
      </w:r>
      <w:r>
        <w:rPr>
          <w:rFonts w:ascii="Georgia" w:hAnsi="Georgia" w:cstheme="minorHAnsi"/>
          <w:sz w:val="24"/>
          <w:szCs w:val="24"/>
        </w:rPr>
      </w:r>
    </w:p>
    <w:p w14:paraId="12D4F786" w14:textId="3269E15B">
      <w:pPr>
        <w:pBdr/>
        <w:spacing w:after="120" w:line="360" w:lineRule="auto"/>
        <w:ind w:firstLine="697"/>
        <w:jc w:val="both"/>
        <w:rPr>
          <w:rFonts w:ascii="Georgia" w:hAnsi="Georgia" w:cstheme="minorHAnsi"/>
          <w:sz w:val="24"/>
          <w:szCs w:val="24"/>
        </w:rPr>
      </w:pPr>
      <w:r>
        <w:rPr>
          <w:rFonts w:ascii="Georgia" w:hAnsi="Georgia" w:cstheme="minorHAnsi"/>
          <w:sz w:val="24"/>
          <w:szCs w:val="24"/>
        </w:rPr>
        <w:t xml:space="preserve">Com relação às cidades médias, que expressam um grau de complexidade maior, os autores classificam as mais típicas no contexto mineiro entre 50 a 150 mil habitantes. O zoneamento morfológico funcional envolve a área central composta p</w:t>
      </w:r>
      <w:r>
        <w:rPr>
          <w:rFonts w:ascii="Georgia" w:hAnsi="Georgia" w:cstheme="minorHAnsi"/>
          <w:sz w:val="24"/>
          <w:szCs w:val="24"/>
        </w:rPr>
        <w:t xml:space="preserve">or um eixo viário principal, praça matriz e ruas adjacentes onde se encontram o comércio e os serviços mais especializados que possuem alcance regional, presença de função residencial em prédios e algumas habitações unifamiliares, mas não predominante. No </w:t>
      </w:r>
      <w:r>
        <w:rPr>
          <w:rFonts w:ascii="Georgia" w:hAnsi="Georgia" w:cstheme="minorHAnsi"/>
          <w:sz w:val="24"/>
          <w:szCs w:val="24"/>
        </w:rPr>
        <w:t xml:space="preserve">pericentro</w:t>
      </w:r>
      <w:r>
        <w:rPr>
          <w:rFonts w:ascii="Georgia" w:hAnsi="Georgia" w:cstheme="minorHAnsi"/>
          <w:sz w:val="24"/>
          <w:szCs w:val="24"/>
        </w:rPr>
        <w:t xml:space="preserve">, nos principais eixos de circulação, observa-se a extensão de </w:t>
      </w:r>
      <w:r>
        <w:rPr>
          <w:rFonts w:ascii="Georgia" w:hAnsi="Georgia" w:cstheme="minorHAnsi"/>
          <w:sz w:val="24"/>
          <w:szCs w:val="24"/>
        </w:rPr>
        <w:t xml:space="preserve">algumas atividades do centro ou expulsas por atividades mais valorizadas; função residencial predominante, formada por bairros diferenciados socioeconomicamente, subcentros especializados de alcance regional com equipamentos como hospitais e universidades.</w:t>
      </w:r>
      <w:r>
        <w:rPr>
          <w:rFonts w:ascii="Georgia" w:hAnsi="Georgia" w:cstheme="minorHAnsi"/>
          <w:sz w:val="24"/>
          <w:szCs w:val="24"/>
        </w:rPr>
      </w:r>
    </w:p>
    <w:p w14:paraId="0F288B2D" w14:textId="5F7FA26D">
      <w:pPr>
        <w:pBdr/>
        <w:spacing w:after="120" w:line="360" w:lineRule="auto"/>
        <w:ind w:firstLine="697"/>
        <w:jc w:val="both"/>
        <w:rPr>
          <w:rFonts w:ascii="Georgia" w:hAnsi="Georgia" w:cstheme="minorHAnsi"/>
          <w:sz w:val="24"/>
          <w:szCs w:val="24"/>
        </w:rPr>
      </w:pPr>
      <w:r>
        <w:rPr>
          <w:rFonts w:ascii="Georgia" w:hAnsi="Georgia" w:cstheme="minorHAnsi"/>
          <w:sz w:val="24"/>
          <w:szCs w:val="24"/>
        </w:rPr>
        <w:t xml:space="preserve">A periferia em crescimento com a expansão de novos loteamentos, especialmente no entorno da instalação de grandes equipamentos sem espaço nas áreas centrais, como campus universitário, rodoviária, supermer</w:t>
      </w:r>
      <w:r>
        <w:rPr>
          <w:rFonts w:ascii="Georgia" w:hAnsi="Georgia" w:cstheme="minorHAnsi"/>
          <w:sz w:val="24"/>
          <w:szCs w:val="24"/>
        </w:rPr>
        <w:t xml:space="preserve">cados etc.; função residencial predominante, mas agora marcada por maior diversidade socioeconômica e de atividades, como universidades, distrito industrial, condomínios de alto padrão; presença de subcentros de vizinhança em pontos de maior circulação; o </w:t>
      </w:r>
      <w:r>
        <w:rPr>
          <w:rFonts w:ascii="Georgia" w:hAnsi="Georgia" w:cstheme="minorHAnsi"/>
          <w:sz w:val="24"/>
          <w:szCs w:val="24"/>
        </w:rPr>
        <w:t xml:space="preserve">periurbano, em meio às áreas agrícolas e pastagens, clubes, sítios, e expansão de novos loteamentos;  formam-se periferias mais articuladas ao tecido urbano ou desarticuladas, em geral, com precariedade de infraestruturas (Amorim Filho e Sena Filho, 2007).</w:t>
      </w:r>
      <w:r>
        <w:rPr>
          <w:rFonts w:ascii="Georgia" w:hAnsi="Georgia" w:cstheme="minorHAnsi"/>
          <w:sz w:val="24"/>
          <w:szCs w:val="24"/>
        </w:rPr>
      </w:r>
    </w:p>
    <w:p w14:paraId="2FE05166" w14:textId="77777777">
      <w:pPr>
        <w:pBdr/>
        <w:spacing w:after="120" w:line="360" w:lineRule="auto"/>
        <w:ind w:firstLine="700"/>
        <w:jc w:val="both"/>
        <w:rPr>
          <w:rFonts w:ascii="Georgia" w:hAnsi="Georgia" w:cstheme="minorHAnsi"/>
          <w:sz w:val="20"/>
          <w:szCs w:val="20"/>
        </w:rPr>
      </w:pPr>
      <w:r>
        <w:rPr>
          <w:rFonts w:ascii="Georgia" w:hAnsi="Georgia" w:cstheme="minorHAnsi"/>
          <w:sz w:val="24"/>
          <w:szCs w:val="24"/>
        </w:rPr>
        <w:t xml:space="preserve">No que diz respeito às cidades pequenas, estas apresentam uma maior relação com o campo, expressando um </w:t>
      </w:r>
      <w:r>
        <w:rPr>
          <w:rFonts w:ascii="Georgia" w:hAnsi="Georgia" w:cstheme="minorHAnsi"/>
          <w:i/>
          <w:sz w:val="24"/>
          <w:szCs w:val="24"/>
        </w:rPr>
        <w:t xml:space="preserve">continuum</w:t>
      </w:r>
      <w:r>
        <w:rPr>
          <w:rFonts w:ascii="Georgia" w:hAnsi="Georgia" w:cstheme="minorHAnsi"/>
          <w:sz w:val="24"/>
          <w:szCs w:val="24"/>
        </w:rPr>
        <w:t xml:space="preserve"> rural-urbano, </w:t>
      </w:r>
      <w:r>
        <w:rPr>
          <w:rFonts w:ascii="Georgia" w:hAnsi="Georgia" w:cstheme="minorHAnsi"/>
          <w:sz w:val="24"/>
          <w:szCs w:val="24"/>
        </w:rPr>
        <w:t xml:space="preserve">e um </w:t>
      </w:r>
      <w:r>
        <w:rPr>
          <w:rFonts w:ascii="Georgia" w:hAnsi="Georgia" w:cstheme="minorHAnsi"/>
          <w:sz w:val="24"/>
          <w:szCs w:val="24"/>
        </w:rPr>
        <w:t xml:space="preserve">habitat concentrado, </w:t>
      </w:r>
      <w:r>
        <w:rPr>
          <w:rFonts w:ascii="Georgia" w:hAnsi="Georgia" w:cstheme="minorHAnsi"/>
          <w:sz w:val="24"/>
          <w:szCs w:val="24"/>
        </w:rPr>
        <w:t xml:space="preserve">no qual</w:t>
      </w:r>
      <w:r>
        <w:rPr>
          <w:rFonts w:ascii="Georgia" w:hAnsi="Georgia" w:cstheme="minorHAnsi"/>
          <w:sz w:val="24"/>
          <w:szCs w:val="24"/>
        </w:rPr>
        <w:t xml:space="preserve"> a função dominante reside no papel de sede administrativa municipal. </w:t>
      </w:r>
      <w:r>
        <w:rPr>
          <w:rFonts w:ascii="Georgia" w:hAnsi="Georgia" w:cstheme="minorHAnsi"/>
          <w:sz w:val="20"/>
          <w:szCs w:val="20"/>
        </w:rPr>
      </w:r>
    </w:p>
    <w:p w14:paraId="4B9F7B4A" w14:textId="327BF3FB">
      <w:pPr>
        <w:pBdr/>
        <w:spacing w:after="120" w:line="360" w:lineRule="auto"/>
        <w:ind/>
        <w:jc w:val="both"/>
        <w:rPr>
          <w:rFonts w:ascii="Georgia" w:hAnsi="Georgia" w:cstheme="minorHAnsi"/>
          <w:sz w:val="24"/>
          <w:szCs w:val="24"/>
        </w:rPr>
      </w:pPr>
      <w:r>
        <w:rPr>
          <w:rFonts w:ascii="Georgia" w:hAnsi="Georgia" w:cstheme="minorHAnsi"/>
          <w:sz w:val="24"/>
          <w:szCs w:val="24"/>
        </w:rPr>
        <w:t xml:space="preserve">         </w:t>
      </w:r>
      <w:r>
        <w:rPr>
          <w:rFonts w:ascii="Georgia" w:hAnsi="Georgia" w:cstheme="minorHAnsi"/>
          <w:sz w:val="24"/>
          <w:szCs w:val="24"/>
        </w:rPr>
        <w:tab/>
        <w:t xml:space="preserve">Constituem, portanto, centros locais cuja população raramente ultrapassa 20 a 30 mil habitantes. Corrêa (20</w:t>
      </w:r>
      <w:r>
        <w:rPr>
          <w:rFonts w:ascii="Georgia" w:hAnsi="Georgia" w:cstheme="minorHAnsi"/>
          <w:sz w:val="24"/>
          <w:szCs w:val="24"/>
        </w:rPr>
        <w:t xml:space="preserve">11</w:t>
      </w:r>
      <w:r>
        <w:rPr>
          <w:rFonts w:ascii="Georgia" w:hAnsi="Georgia" w:cstheme="minorHAnsi"/>
          <w:sz w:val="24"/>
          <w:szCs w:val="24"/>
        </w:rPr>
        <w:t xml:space="preserve">) aponta cinco tipos ideais de cidades pequenas, onde pode haver a combinação de alguns desses tipos: a) os lugares centrais, ocupando um lugar elementar na hierarquia urbana como centros locais; b) os centros especializados que desenvolvem </w:t>
      </w:r>
      <w:r>
        <w:rPr>
          <w:rFonts w:ascii="Georgia" w:hAnsi="Georgia" w:cstheme="minorHAnsi"/>
          <w:sz w:val="24"/>
          <w:szCs w:val="24"/>
        </w:rPr>
        <w:t xml:space="preserve">atividades específicas, conferindo uma identidade singular (têxtil, de confecções, celulose e papel, de mineração etc.); c) os reservatórios de força-de-trabalho, tanto em áreas de povoamento recente, como em áreas integradas do complexo agroindustrial; d)</w:t>
      </w:r>
      <w:r>
        <w:rPr>
          <w:rFonts w:ascii="Georgia" w:hAnsi="Georgia" w:cstheme="minorHAnsi"/>
          <w:sz w:val="24"/>
          <w:szCs w:val="24"/>
        </w:rPr>
        <w:t xml:space="preserve"> </w:t>
      </w:r>
      <w:r>
        <w:rPr>
          <w:rFonts w:ascii="Georgia" w:hAnsi="Georgia" w:cstheme="minorHAnsi"/>
          <w:sz w:val="24"/>
          <w:szCs w:val="24"/>
        </w:rPr>
        <w:t xml:space="preserve">os centros que dependem </w:t>
      </w:r>
      <w:r>
        <w:rPr>
          <w:rFonts w:ascii="Georgia" w:hAnsi="Georgia" w:cstheme="minorHAnsi"/>
          <w:sz w:val="24"/>
          <w:szCs w:val="24"/>
        </w:rPr>
        <w:t xml:space="preserve">de recursos externos, antigos e decadentes lugares centrais localizados em áreas agrícolas estagnadas, onde migração é expressiva; e) os subúrbios-dormitório, resultado da absorção de um antigo lugar central por uma grande cidade em crescimento e expansão.</w:t>
      </w:r>
      <w:r>
        <w:rPr>
          <w:rFonts w:ascii="Georgia" w:hAnsi="Georgia" w:cstheme="minorHAnsi"/>
          <w:sz w:val="24"/>
          <w:szCs w:val="24"/>
        </w:rPr>
      </w:r>
    </w:p>
    <w:p w14:paraId="234C9114" w14:textId="77777777">
      <w:pPr>
        <w:pBdr/>
        <w:spacing w:after="120" w:line="360" w:lineRule="auto"/>
        <w:ind/>
        <w:jc w:val="both"/>
        <w:rPr>
          <w:rFonts w:ascii="Georgia" w:hAnsi="Georgia" w:cstheme="minorHAnsi"/>
          <w:b/>
          <w:sz w:val="24"/>
          <w:szCs w:val="24"/>
        </w:rPr>
      </w:pPr>
      <w:r>
        <w:rPr>
          <w:rFonts w:ascii="Georgia" w:hAnsi="Georgia" w:cstheme="minorHAnsi"/>
          <w:b/>
          <w:sz w:val="24"/>
          <w:szCs w:val="24"/>
        </w:rPr>
        <w:t xml:space="preserve">A evolução urbana de Alfenas e região</w:t>
      </w:r>
      <w:r>
        <w:rPr>
          <w:rFonts w:ascii="Georgia" w:hAnsi="Georgia" w:cstheme="minorHAnsi"/>
          <w:b/>
          <w:sz w:val="24"/>
          <w:szCs w:val="24"/>
        </w:rPr>
      </w:r>
    </w:p>
    <w:p w14:paraId="4B667ED6" w14:textId="29126CCC">
      <w:pPr>
        <w:pBdr/>
        <w:spacing w:after="120" w:line="360" w:lineRule="auto"/>
        <w:ind w:firstLine="700"/>
        <w:jc w:val="both"/>
        <w:rPr>
          <w:rFonts w:ascii="Georgia" w:hAnsi="Georgia" w:cstheme="minorHAnsi"/>
          <w:sz w:val="24"/>
          <w:szCs w:val="24"/>
        </w:rPr>
      </w:pPr>
      <w:r>
        <w:rPr>
          <w:rFonts w:ascii="Georgia" w:hAnsi="Georgia" w:cstheme="minorHAnsi"/>
          <w:sz w:val="24"/>
          <w:szCs w:val="24"/>
        </w:rPr>
        <w:t xml:space="preserve">Ao final do século XIX, a economia agroexportadora do café impulsionou o crescimento populacional e a urbanização no Sul de Minas. Com a expansão da rede ferroviária e de serviços, a rede urbana se </w:t>
      </w:r>
      <w:r>
        <w:rPr>
          <w:rFonts w:ascii="Georgia" w:hAnsi="Georgia" w:cstheme="minorHAnsi"/>
          <w:sz w:val="24"/>
          <w:szCs w:val="24"/>
        </w:rPr>
        <w:t xml:space="preserve">estrutura</w:t>
      </w:r>
      <w:r>
        <w:rPr>
          <w:rFonts w:ascii="Georgia" w:hAnsi="Georgia" w:cstheme="minorHAnsi"/>
          <w:sz w:val="24"/>
          <w:szCs w:val="24"/>
        </w:rPr>
        <w:t xml:space="preserve">, caracterizada nesse período por um padrão dendrítico em que a cidade primaz é o Rio de Janeiro, por onde ocorre o escoamento da produção para exportação (CO</w:t>
      </w:r>
      <w:r>
        <w:rPr>
          <w:rFonts w:ascii="Georgia" w:hAnsi="Georgia" w:cstheme="minorHAnsi"/>
          <w:sz w:val="24"/>
          <w:szCs w:val="24"/>
        </w:rPr>
        <w:t xml:space="preserve">RRÊA, 2006). Com o crescimento econômico de São Paulo e a expansão de sua rede ferroviária, o escoamento do café do Sul de Minas passou a se realizar principalmente por este Estado, o que resultou na mudança da polarização do Rio de Janeiro para São Paulo.</w:t>
      </w:r>
      <w:r>
        <w:rPr>
          <w:rFonts w:ascii="Georgia" w:hAnsi="Georgia" w:cstheme="minorHAnsi"/>
          <w:sz w:val="24"/>
          <w:szCs w:val="24"/>
        </w:rPr>
      </w:r>
    </w:p>
    <w:p w14:paraId="361CB807" w14:textId="09ED41A1">
      <w:pPr>
        <w:pBdr/>
        <w:spacing w:after="120" w:line="360" w:lineRule="auto"/>
        <w:ind w:firstLine="700"/>
        <w:jc w:val="both"/>
        <w:rPr>
          <w:rFonts w:ascii="Georgia" w:hAnsi="Georgia" w:cstheme="minorHAnsi"/>
          <w:sz w:val="24"/>
          <w:szCs w:val="24"/>
        </w:rPr>
      </w:pPr>
      <w:r>
        <w:rPr>
          <w:rFonts w:ascii="Georgia" w:hAnsi="Georgia" w:cstheme="minorHAnsi"/>
          <w:sz w:val="24"/>
          <w:szCs w:val="24"/>
        </w:rPr>
        <w:t xml:space="preserve">Desde o início do século XX, Alfenas já se constituía como um </w:t>
      </w:r>
      <w:r>
        <w:rPr>
          <w:rFonts w:ascii="Georgia" w:hAnsi="Georgia" w:cstheme="minorHAnsi"/>
          <w:i/>
          <w:sz w:val="24"/>
          <w:szCs w:val="24"/>
        </w:rPr>
        <w:t xml:space="preserve">centro </w:t>
      </w:r>
      <w:r>
        <w:rPr>
          <w:rFonts w:ascii="Georgia" w:hAnsi="Georgia" w:cstheme="minorHAnsi"/>
          <w:i/>
          <w:sz w:val="24"/>
          <w:szCs w:val="24"/>
        </w:rPr>
        <w:t xml:space="preserve">subregional</w:t>
      </w:r>
      <w:r>
        <w:rPr>
          <w:rStyle w:val="851"/>
          <w:rFonts w:ascii="Georgia" w:hAnsi="Georgia" w:cstheme="minorHAnsi"/>
          <w:i/>
          <w:sz w:val="24"/>
          <w:szCs w:val="24"/>
        </w:rPr>
        <w:footnoteReference w:id="2"/>
      </w:r>
      <w:r>
        <w:rPr>
          <w:rFonts w:ascii="Georgia" w:hAnsi="Georgia" w:cstheme="minorHAnsi"/>
          <w:sz w:val="24"/>
          <w:szCs w:val="24"/>
        </w:rPr>
        <w:t xml:space="preserve"> da rede do Sul de Minas, pois já dispunha, por exemplo, de um hospital, a Santa Casa de Alfenas, fundada em 1907, e a Escola de Farmácia e Odontologia de Alfenas (EFOA), de 1914, nó de rede ferroviária e de funções </w:t>
      </w:r>
      <w:r>
        <w:rPr>
          <w:rFonts w:ascii="Georgia" w:hAnsi="Georgia" w:cstheme="minorHAnsi"/>
          <w:sz w:val="24"/>
          <w:szCs w:val="24"/>
        </w:rPr>
        <w:t xml:space="preserve">administrativas, polarizando uma rede de distritos (Machado, Poço Fundo, Fama, Paraguaçu, Alterosa, Areado e outros)</w:t>
      </w:r>
      <w:r>
        <w:rPr>
          <w:rFonts w:ascii="Georgia" w:hAnsi="Georgia" w:cstheme="minorHAnsi"/>
          <w:sz w:val="24"/>
          <w:szCs w:val="24"/>
        </w:rPr>
        <w:t xml:space="preserve">,</w:t>
      </w:r>
      <w:r>
        <w:rPr>
          <w:rFonts w:ascii="Georgia" w:hAnsi="Georgia" w:cstheme="minorHAnsi"/>
          <w:sz w:val="24"/>
          <w:szCs w:val="24"/>
        </w:rPr>
        <w:t xml:space="preserve"> que depois se emanciparam, mas permaneceram como área de influência de Alfenas (MARTINS, 2016). Dessa forma, a base da microrregião era </w:t>
      </w:r>
      <w:r>
        <w:rPr>
          <w:rFonts w:ascii="Georgia" w:hAnsi="Georgia" w:cstheme="minorHAnsi"/>
          <w:sz w:val="24"/>
          <w:szCs w:val="24"/>
        </w:rPr>
        <w:t xml:space="preserve">forma</w:t>
      </w:r>
      <w:r>
        <w:rPr>
          <w:rFonts w:ascii="Georgia" w:hAnsi="Georgia" w:cstheme="minorHAnsi"/>
          <w:sz w:val="24"/>
          <w:szCs w:val="24"/>
        </w:rPr>
        <w:t xml:space="preserve">da pelos serviços médico-hospitalar e educação superior, que constituem o embrião desta rede </w:t>
      </w:r>
      <w:r>
        <w:rPr>
          <w:rFonts w:ascii="Georgia" w:hAnsi="Georgia" w:cstheme="minorHAnsi"/>
          <w:sz w:val="24"/>
          <w:szCs w:val="24"/>
        </w:rPr>
        <w:t xml:space="preserve">subregional</w:t>
      </w:r>
      <w:r>
        <w:rPr>
          <w:rFonts w:ascii="Georgia" w:hAnsi="Georgia" w:cstheme="minorHAnsi"/>
          <w:sz w:val="24"/>
          <w:szCs w:val="24"/>
        </w:rPr>
        <w:t xml:space="preserve">. No espaço urbano de Alfenas, ocorreu a instalação de infraestruturas como rede elétrica, de água, telefonia e pavimentação de ruas, contudo de forma desigual.</w:t>
      </w:r>
      <w:r>
        <w:rPr>
          <w:rFonts w:ascii="Georgia" w:hAnsi="Georgia" w:cstheme="minorHAnsi"/>
          <w:sz w:val="24"/>
          <w:szCs w:val="24"/>
        </w:rPr>
      </w:r>
    </w:p>
    <w:p w14:paraId="06CCA7AF" w14:textId="77777777">
      <w:pPr>
        <w:pBdr/>
        <w:spacing w:after="120" w:line="360" w:lineRule="auto"/>
        <w:ind w:firstLine="700"/>
        <w:jc w:val="both"/>
        <w:rPr>
          <w:rFonts w:ascii="Georgia" w:hAnsi="Georgia" w:cstheme="minorHAnsi"/>
          <w:sz w:val="24"/>
          <w:szCs w:val="24"/>
        </w:rPr>
      </w:pPr>
      <w:r>
        <w:rPr>
          <w:rFonts w:ascii="Georgia" w:hAnsi="Georgia" w:cstheme="minorHAnsi"/>
          <w:sz w:val="24"/>
          <w:szCs w:val="24"/>
        </w:rPr>
        <w:t xml:space="preserve">Em meados do século XX, com o avanço da industriali</w:t>
      </w:r>
      <w:r>
        <w:rPr>
          <w:rFonts w:ascii="Georgia" w:hAnsi="Georgia" w:cstheme="minorHAnsi"/>
          <w:sz w:val="24"/>
          <w:szCs w:val="24"/>
        </w:rPr>
        <w:t xml:space="preserve">zação e urbanização do país, a integração do mercado nacional e a mudança das relações produtivas no campo, intensificaram a expropriação e o êxodo rural, o que implicou nos processos de periferização e uma maior segregação socioespacial nas áreas urbanas.</w:t>
      </w:r>
      <w:r>
        <w:rPr>
          <w:rFonts w:ascii="Georgia" w:hAnsi="Georgia" w:cstheme="minorHAnsi"/>
          <w:sz w:val="24"/>
          <w:szCs w:val="24"/>
        </w:rPr>
      </w:r>
    </w:p>
    <w:p w14:paraId="74498E75" w14:textId="53261FA9">
      <w:pPr>
        <w:pBdr/>
        <w:spacing w:after="120" w:line="360" w:lineRule="auto"/>
        <w:ind w:firstLine="700"/>
        <w:jc w:val="both"/>
        <w:rPr>
          <w:rFonts w:ascii="Georgia" w:hAnsi="Georgia" w:cstheme="minorHAnsi"/>
          <w:sz w:val="24"/>
          <w:szCs w:val="24"/>
        </w:rPr>
      </w:pPr>
      <w:r>
        <w:rPr>
          <w:rFonts w:ascii="Georgia" w:hAnsi="Georgia" w:cstheme="minorHAnsi"/>
          <w:sz w:val="24"/>
          <w:szCs w:val="24"/>
        </w:rPr>
        <w:t xml:space="preserve">Na região do Sul de Minas também se ampliou a implantação de infraestruturas, como o modal rodoviário da Fernão Dias, na década de 1950, interligando São Paulo a Belo Horizonte, e a hidrelétrica de Furnas, em 1963. O arranjo da rede urbana também mudo</w:t>
      </w:r>
      <w:r>
        <w:rPr>
          <w:rFonts w:ascii="Georgia" w:hAnsi="Georgia" w:cstheme="minorHAnsi"/>
          <w:sz w:val="24"/>
          <w:szCs w:val="24"/>
        </w:rPr>
        <w:t xml:space="preserve">u</w:t>
      </w:r>
      <w:r>
        <w:rPr>
          <w:rFonts w:ascii="Georgia" w:hAnsi="Georgia" w:cstheme="minorHAnsi"/>
          <w:sz w:val="24"/>
          <w:szCs w:val="24"/>
        </w:rPr>
        <w:t xml:space="preserve">, assumindo</w:t>
      </w:r>
      <w:r>
        <w:rPr>
          <w:rFonts w:ascii="Georgia" w:hAnsi="Georgia" w:cstheme="minorHAnsi"/>
          <w:sz w:val="24"/>
          <w:szCs w:val="24"/>
        </w:rPr>
        <w:t xml:space="preserve"> uma maior articulação e</w:t>
      </w:r>
      <w:r>
        <w:rPr>
          <w:rFonts w:ascii="Georgia" w:hAnsi="Georgia" w:cstheme="minorHAnsi"/>
          <w:sz w:val="24"/>
          <w:szCs w:val="24"/>
        </w:rPr>
        <w:t xml:space="preserve"> </w:t>
      </w:r>
      <w:r>
        <w:rPr>
          <w:rFonts w:ascii="Georgia" w:hAnsi="Georgia" w:cstheme="minorHAnsi"/>
          <w:sz w:val="24"/>
          <w:szCs w:val="24"/>
        </w:rPr>
        <w:t xml:space="preserve">diferenciação dos centros </w:t>
      </w:r>
      <w:r>
        <w:rPr>
          <w:rFonts w:ascii="Georgia" w:hAnsi="Georgia" w:cstheme="minorHAnsi"/>
          <w:sz w:val="24"/>
          <w:szCs w:val="24"/>
        </w:rPr>
        <w:t xml:space="preserve">na </w:t>
      </w:r>
      <w:r>
        <w:rPr>
          <w:rFonts w:ascii="Georgia" w:hAnsi="Georgia" w:cstheme="minorHAnsi"/>
          <w:sz w:val="24"/>
          <w:szCs w:val="24"/>
        </w:rPr>
        <w:t xml:space="preserve">rede </w:t>
      </w:r>
      <w:r>
        <w:rPr>
          <w:rFonts w:ascii="Georgia" w:hAnsi="Georgia" w:cstheme="minorHAnsi"/>
          <w:sz w:val="24"/>
          <w:szCs w:val="24"/>
        </w:rPr>
        <w:t xml:space="preserve">urbana </w:t>
      </w:r>
      <w:r>
        <w:rPr>
          <w:rFonts w:ascii="Georgia" w:hAnsi="Georgia" w:cstheme="minorHAnsi"/>
          <w:sz w:val="24"/>
          <w:szCs w:val="24"/>
        </w:rPr>
        <w:t xml:space="preserve">(CORRÊA, 2006).</w:t>
      </w:r>
      <w:r>
        <w:rPr>
          <w:rFonts w:ascii="Georgia" w:hAnsi="Georgia" w:cstheme="minorHAnsi"/>
          <w:sz w:val="24"/>
          <w:szCs w:val="24"/>
        </w:rPr>
      </w:r>
    </w:p>
    <w:p w14:paraId="44EB0CF3" w14:textId="650D72B0">
      <w:pPr>
        <w:pBdr/>
        <w:spacing w:after="120" w:line="360" w:lineRule="auto"/>
        <w:ind w:firstLine="700"/>
        <w:jc w:val="both"/>
        <w:rPr>
          <w:rFonts w:ascii="Georgia" w:hAnsi="Georgia" w:cstheme="minorHAnsi"/>
          <w:sz w:val="24"/>
          <w:szCs w:val="24"/>
        </w:rPr>
      </w:pPr>
      <w:r>
        <w:rPr>
          <w:rFonts w:ascii="Georgia" w:hAnsi="Georgia" w:cstheme="minorHAnsi"/>
          <w:sz w:val="24"/>
          <w:szCs w:val="24"/>
        </w:rPr>
        <w:t xml:space="preserve">Com o avanço do processo de industrialização, as cidades tornaram-se polos de produção e não apenas centros de </w:t>
      </w:r>
      <w:r>
        <w:rPr>
          <w:rFonts w:ascii="Georgia" w:hAnsi="Georgia" w:cstheme="minorHAnsi"/>
          <w:sz w:val="24"/>
          <w:szCs w:val="24"/>
        </w:rPr>
        <w:t xml:space="preserve">comércio e serviços</w:t>
      </w:r>
      <w:r>
        <w:rPr>
          <w:rFonts w:ascii="Georgia" w:hAnsi="Georgia" w:cstheme="minorHAnsi"/>
          <w:sz w:val="24"/>
          <w:szCs w:val="24"/>
        </w:rPr>
        <w:t xml:space="preserve">, configurando uma nova divisão territorial do trabalho e uma maior hierarquização dos centros.  No espaço intraurbano, novas classes e estratificações sociais são estabelecidas, assim como um maior espraiamento da cidade e a formação de periferias.</w:t>
      </w:r>
      <w:r>
        <w:rPr>
          <w:rFonts w:ascii="Georgia" w:hAnsi="Georgia" w:cstheme="minorHAnsi"/>
          <w:sz w:val="24"/>
          <w:szCs w:val="24"/>
        </w:rPr>
      </w:r>
    </w:p>
    <w:p w14:paraId="085C963B" w14:textId="0911830D">
      <w:pPr>
        <w:pBdr/>
        <w:spacing w:after="120" w:line="360" w:lineRule="auto"/>
        <w:ind w:firstLine="700"/>
        <w:jc w:val="both"/>
        <w:rPr>
          <w:rFonts w:ascii="Georgia" w:hAnsi="Georgia" w:cstheme="minorHAnsi"/>
          <w:sz w:val="24"/>
          <w:szCs w:val="24"/>
        </w:rPr>
      </w:pPr>
      <w:r>
        <w:rPr>
          <w:rFonts w:ascii="Georgia" w:hAnsi="Georgia" w:cstheme="minorHAnsi"/>
          <w:sz w:val="24"/>
          <w:szCs w:val="24"/>
        </w:rPr>
        <w:t xml:space="preserve">A efetiva articulação da rede urbana</w:t>
      </w:r>
      <w:r>
        <w:rPr>
          <w:rFonts w:ascii="Georgia" w:hAnsi="Georgia" w:cstheme="minorHAnsi"/>
          <w:sz w:val="24"/>
          <w:szCs w:val="24"/>
        </w:rPr>
        <w:t xml:space="preserve"> </w:t>
      </w:r>
      <w:r>
        <w:rPr>
          <w:rFonts w:ascii="Georgia" w:hAnsi="Georgia" w:cstheme="minorHAnsi"/>
          <w:sz w:val="24"/>
          <w:szCs w:val="24"/>
        </w:rPr>
        <w:t xml:space="preserve">resultou em maior especialização e divisão territorial do trabalho, em uma crescente complementação e competição entre as cidades, o que implic</w:t>
      </w:r>
      <w:r>
        <w:rPr>
          <w:rFonts w:ascii="Georgia" w:hAnsi="Georgia" w:cstheme="minorHAnsi"/>
          <w:sz w:val="24"/>
          <w:szCs w:val="24"/>
        </w:rPr>
        <w:t xml:space="preserve">ou</w:t>
      </w:r>
      <w:r>
        <w:rPr>
          <w:rFonts w:ascii="Georgia" w:hAnsi="Georgia" w:cstheme="minorHAnsi"/>
          <w:sz w:val="24"/>
          <w:szCs w:val="24"/>
        </w:rPr>
        <w:t xml:space="preserve"> em maiores diferenças </w:t>
      </w:r>
      <w:r>
        <w:rPr>
          <w:rFonts w:ascii="Georgia" w:hAnsi="Georgia" w:cstheme="minorHAnsi"/>
          <w:sz w:val="24"/>
          <w:szCs w:val="24"/>
        </w:rPr>
        <w:t xml:space="preserve">inter</w:t>
      </w:r>
      <w:r>
        <w:rPr>
          <w:rFonts w:ascii="Georgia" w:hAnsi="Georgia" w:cstheme="minorHAnsi"/>
          <w:sz w:val="24"/>
          <w:szCs w:val="24"/>
        </w:rPr>
        <w:t xml:space="preserve"> e intra</w:t>
      </w:r>
      <w:r>
        <w:rPr>
          <w:rFonts w:ascii="Georgia" w:hAnsi="Georgia" w:cstheme="minorHAnsi"/>
          <w:sz w:val="24"/>
          <w:szCs w:val="24"/>
        </w:rPr>
        <w:t xml:space="preserve">r</w:t>
      </w:r>
      <w:r>
        <w:rPr>
          <w:rFonts w:ascii="Georgia" w:hAnsi="Georgia" w:cstheme="minorHAnsi"/>
          <w:sz w:val="24"/>
          <w:szCs w:val="24"/>
        </w:rPr>
        <w:t xml:space="preserve">regionais</w:t>
      </w:r>
      <w:r>
        <w:rPr>
          <w:rFonts w:ascii="Georgia" w:hAnsi="Georgia" w:cstheme="minorHAnsi"/>
          <w:sz w:val="24"/>
          <w:szCs w:val="24"/>
        </w:rPr>
        <w:t xml:space="preserve">. </w:t>
      </w:r>
      <w:r>
        <w:rPr>
          <w:rFonts w:ascii="Georgia" w:hAnsi="Georgia" w:cstheme="minorHAnsi"/>
          <w:sz w:val="24"/>
          <w:szCs w:val="24"/>
        </w:rPr>
        <w:t xml:space="preserve">Com as melhorias na circulação, as cidades médias ampliaram seu raio de influência sobre as cidades pequenas próximas, as quais tendem a perder centralidade e população (CORRÊA, 2006; SANTOS, 2002).</w:t>
      </w:r>
      <w:r>
        <w:rPr>
          <w:rFonts w:ascii="Georgia" w:hAnsi="Georgia" w:cstheme="minorHAnsi"/>
          <w:sz w:val="24"/>
          <w:szCs w:val="24"/>
        </w:rPr>
      </w:r>
    </w:p>
    <w:p w14:paraId="62FC01A4" w14:textId="77777777">
      <w:pPr>
        <w:pBdr/>
        <w:spacing w:after="120" w:line="360" w:lineRule="auto"/>
        <w:ind w:firstLine="700"/>
        <w:jc w:val="both"/>
        <w:rPr>
          <w:rFonts w:ascii="Georgia" w:hAnsi="Georgia" w:cstheme="minorHAnsi"/>
          <w:sz w:val="24"/>
          <w:szCs w:val="24"/>
        </w:rPr>
      </w:pPr>
      <w:r>
        <w:rPr>
          <w:rFonts w:ascii="Georgia" w:hAnsi="Georgia" w:cstheme="minorHAnsi"/>
          <w:sz w:val="24"/>
          <w:szCs w:val="24"/>
        </w:rPr>
        <w:t xml:space="preserve">O Sul de Minas articulou-se diretamente aos processos de desconcentração industrial metropolitana impulsionados na década d</w:t>
      </w:r>
      <w:r>
        <w:rPr>
          <w:rFonts w:ascii="Georgia" w:hAnsi="Georgia" w:cstheme="minorHAnsi"/>
          <w:sz w:val="24"/>
          <w:szCs w:val="24"/>
        </w:rPr>
        <w:t xml:space="preserve">e 1970. Na década de 1990, ampliou também a desconcentração da rede de serviços para as cidades médias, especialmente a partir da duplicação da Rodovia Fernão Dias. A título de exemplo, no início da década de 1960 é instalada em Alfenas a Tecelagem Saliba </w:t>
      </w:r>
      <w:r>
        <w:rPr>
          <w:rFonts w:ascii="Georgia" w:hAnsi="Georgia" w:cstheme="minorHAnsi"/>
          <w:sz w:val="24"/>
          <w:szCs w:val="24"/>
        </w:rPr>
        <w:t xml:space="preserve">proveniente da capital paulista e, em 1991, implantou-se o Distrito Industrial, onde opera a UNIFI, multinacional do segmento têxtil, já no contexto de maior competição entre os municípios por investimentos diretos.</w:t>
      </w:r>
      <w:r>
        <w:rPr>
          <w:rFonts w:ascii="Georgia" w:hAnsi="Georgia" w:cstheme="minorHAnsi"/>
          <w:sz w:val="24"/>
          <w:szCs w:val="24"/>
        </w:rPr>
      </w:r>
    </w:p>
    <w:p w14:paraId="78D7D0DC" w14:textId="2850125F">
      <w:pPr>
        <w:pBdr/>
        <w:spacing w:after="120" w:line="360" w:lineRule="auto"/>
        <w:ind w:firstLine="700"/>
        <w:jc w:val="both"/>
        <w:rPr>
          <w:rFonts w:ascii="Georgia" w:hAnsi="Georgia" w:cstheme="minorHAnsi"/>
          <w:sz w:val="24"/>
          <w:szCs w:val="24"/>
        </w:rPr>
      </w:pPr>
      <w:r>
        <w:rPr>
          <w:rFonts w:ascii="Georgia" w:hAnsi="Georgia" w:cstheme="minorHAnsi"/>
          <w:sz w:val="24"/>
          <w:szCs w:val="24"/>
        </w:rPr>
        <w:t xml:space="preserve">Em 1988, a transformação das Faculdades Integradas da Região de Alfenas em Universidade de Alfenas (UNIFENAS), com a</w:t>
      </w:r>
      <w:r>
        <w:rPr>
          <w:rFonts w:ascii="Georgia" w:hAnsi="Georgia" w:cstheme="minorHAnsi"/>
          <w:sz w:val="24"/>
          <w:szCs w:val="24"/>
        </w:rPr>
        <w:t xml:space="preserve"> ampli</w:t>
      </w:r>
      <w:r>
        <w:rPr>
          <w:rFonts w:ascii="Georgia" w:hAnsi="Georgia" w:cstheme="minorHAnsi"/>
          <w:sz w:val="24"/>
          <w:szCs w:val="24"/>
        </w:rPr>
        <w:t xml:space="preserve">ação de cursos aumentou o fluxo de estudantes. Em 1960, a Escola de Farmácia de Odontologia de Alfenas foi </w:t>
      </w:r>
      <w:r>
        <w:rPr>
          <w:rFonts w:ascii="Georgia" w:hAnsi="Georgia" w:cstheme="minorHAnsi"/>
          <w:sz w:val="24"/>
          <w:szCs w:val="24"/>
        </w:rPr>
        <w:t xml:space="preserve">federalizada e, em 2005, transformada na Universidade Federal de Alfenas (UNIFAL-MG), estabelecendo novos cursos, especialmente a partir do Programa Reuni em 2007, que reforçou o papel das cidades médias com a expansão de novas unidades de ensino superior.</w:t>
      </w:r>
      <w:r>
        <w:rPr>
          <w:rFonts w:ascii="Georgia" w:hAnsi="Georgia" w:cstheme="minorHAnsi"/>
          <w:sz w:val="24"/>
          <w:szCs w:val="24"/>
        </w:rPr>
      </w:r>
    </w:p>
    <w:p w14:paraId="60A85653" w14:textId="54879DFE">
      <w:pPr>
        <w:pBdr/>
        <w:spacing w:after="120" w:line="360" w:lineRule="auto"/>
        <w:ind w:firstLine="700"/>
        <w:jc w:val="both"/>
        <w:rPr>
          <w:rFonts w:ascii="Georgia" w:hAnsi="Georgia" w:cstheme="minorHAnsi"/>
          <w:sz w:val="24"/>
          <w:szCs w:val="24"/>
          <w:highlight w:val="none"/>
        </w:rPr>
      </w:pPr>
      <w:r>
        <w:rPr>
          <w:rFonts w:ascii="Georgia" w:hAnsi="Georgia" w:cstheme="minorHAnsi"/>
          <w:sz w:val="24"/>
          <w:szCs w:val="24"/>
        </w:rPr>
        <w:t xml:space="preserve">Mais recentemente, verifica-se em Alfenas a constituição de novas formas de segregação socioespacial em função de uma explosão de loteamentos e de condomínios de alto padrão, implicando em fragmentação e dispersão do tecido u</w:t>
      </w:r>
      <w:r>
        <w:rPr>
          <w:rFonts w:ascii="Georgia" w:hAnsi="Georgia" w:cstheme="minorHAnsi"/>
          <w:sz w:val="24"/>
          <w:szCs w:val="24"/>
        </w:rPr>
        <w:t xml:space="preserve">rbano, e a formação de novas centralidades. Conforme o mapa de densidade (Kernel) da mancha urbana de Alfenas na Figura 2, destacam-se as áreas de concentração de loteamentos implantados nos últimos anos, especialmente na zona oeste, no entorno da Unidade </w:t>
      </w:r>
      <w:r>
        <w:rPr>
          <w:rFonts w:ascii="Georgia" w:hAnsi="Georgia" w:cstheme="minorHAnsi"/>
          <w:sz w:val="24"/>
          <w:szCs w:val="24"/>
        </w:rPr>
        <w:t xml:space="preserve">II</w:t>
      </w:r>
      <w:r>
        <w:rPr>
          <w:rFonts w:ascii="Georgia" w:hAnsi="Georgia" w:cstheme="minorHAnsi"/>
          <w:sz w:val="24"/>
          <w:szCs w:val="24"/>
        </w:rPr>
        <w:t xml:space="preserve"> da Unifal, no bairro Santa Clara. </w:t>
      </w:r>
      <w:r>
        <w:rPr>
          <w:rFonts w:ascii="Georgia" w:hAnsi="Georgia" w:cstheme="minorHAnsi"/>
          <w:b/>
          <w:bCs/>
          <w:sz w:val="24"/>
          <w:szCs w:val="24"/>
        </w:rPr>
      </w:r>
    </w:p>
    <w:p w14:paraId="7200F852">
      <w:pPr>
        <w:pBdr/>
        <w:spacing w:after="120" w:line="360" w:lineRule="auto"/>
        <w:ind w:firstLine="700"/>
        <w:jc w:val="both"/>
        <w:rPr>
          <w:rFonts w:ascii="Georgia" w:hAnsi="Georgia" w:cstheme="minorHAnsi"/>
          <w:b/>
          <w:bCs/>
          <w:sz w:val="24"/>
          <w:szCs w:val="24"/>
        </w:rPr>
      </w:pPr>
      <w:r>
        <w:rPr>
          <w:rFonts w:ascii="Georgia" w:hAnsi="Georgia" w:cstheme="minorHAnsi"/>
          <w:b/>
          <w:bCs/>
          <w:sz w:val="24"/>
          <w:szCs w:val="24"/>
        </w:rPr>
      </w:r>
      <w:r>
        <w:rPr>
          <w:rFonts w:ascii="Georgia" w:hAnsi="Georgia" w:cstheme="minorHAnsi"/>
          <w:b/>
          <w:bCs/>
          <w:sz w:val="24"/>
          <w:szCs w:val="24"/>
        </w:rPr>
      </w:r>
      <w:r>
        <w:rPr>
          <w:rFonts w:ascii="Georgia" w:hAnsi="Georgia" w:cstheme="minorHAnsi"/>
          <w:b/>
          <w:bCs/>
          <w:sz w:val="24"/>
          <w:szCs w:val="24"/>
        </w:rPr>
      </w:r>
    </w:p>
    <w:p w14:paraId="2F80E8F6">
      <w:pPr>
        <w:pBdr/>
        <w:spacing w:after="120" w:line="360" w:lineRule="auto"/>
        <w:ind w:firstLine="700"/>
        <w:jc w:val="both"/>
        <w:rPr>
          <w:rFonts w:ascii="Georgia" w:hAnsi="Georgia" w:cstheme="minorHAnsi"/>
          <w:b/>
          <w:bCs/>
          <w:sz w:val="24"/>
          <w:szCs w:val="24"/>
        </w:rPr>
      </w:pPr>
      <w:r>
        <w:rPr>
          <w:rFonts w:ascii="Georgia" w:hAnsi="Georgia" w:cstheme="minorHAnsi"/>
          <w:b/>
          <w:bCs/>
          <w:sz w:val="24"/>
          <w:szCs w:val="24"/>
        </w:rPr>
      </w:r>
      <w:r>
        <w:rPr>
          <w:rFonts w:ascii="Georgia" w:hAnsi="Georgia" w:cstheme="minorHAnsi"/>
          <w:b/>
          <w:bCs/>
          <w:sz w:val="24"/>
          <w:szCs w:val="24"/>
        </w:rPr>
      </w:r>
      <w:r>
        <w:rPr>
          <w:rFonts w:ascii="Georgia" w:hAnsi="Georgia" w:cstheme="minorHAnsi"/>
          <w:b/>
          <w:bCs/>
          <w:sz w:val="24"/>
          <w:szCs w:val="24"/>
        </w:rPr>
      </w:r>
    </w:p>
    <w:p w14:paraId="26EC7C7C">
      <w:pPr>
        <w:pBdr/>
        <w:spacing w:after="120" w:line="360" w:lineRule="auto"/>
        <w:ind w:firstLine="700"/>
        <w:jc w:val="both"/>
        <w:rPr>
          <w:rFonts w:ascii="Georgia" w:hAnsi="Georgia" w:cstheme="minorHAnsi"/>
          <w:b/>
          <w:bCs/>
          <w:sz w:val="24"/>
          <w:szCs w:val="24"/>
        </w:rPr>
      </w:pPr>
      <w:r>
        <w:rPr>
          <w:rFonts w:ascii="Georgia" w:hAnsi="Georgia" w:cstheme="minorHAnsi"/>
          <w:sz w:val="24"/>
          <w:szCs w:val="24"/>
          <w:highlight w:val="none"/>
        </w:rPr>
      </w:r>
      <w:r>
        <w:rPr>
          <w:rFonts w:ascii="Georgia" w:hAnsi="Georgia" w:cstheme="minorHAnsi"/>
          <w:sz w:val="24"/>
          <w:szCs w:val="24"/>
          <w:highlight w:val="none"/>
        </w:rPr>
      </w:r>
      <w:r>
        <w:rPr>
          <w:rFonts w:ascii="Georgia" w:hAnsi="Georgia" w:cstheme="minorHAnsi"/>
          <w:sz w:val="24"/>
          <w:szCs w:val="24"/>
          <w:highlight w:val="none"/>
        </w:rPr>
      </w:r>
    </w:p>
    <w:p w14:paraId="3E5BB921" w14:textId="180DB368">
      <w:pPr>
        <w:pBdr/>
        <w:spacing w:after="120" w:line="360" w:lineRule="auto"/>
        <w:ind/>
        <w:jc w:val="center"/>
        <w:rPr>
          <w:rFonts w:ascii="Georgia" w:hAnsi="Georgia" w:cstheme="minorHAnsi"/>
          <w:sz w:val="24"/>
          <w:szCs w:val="24"/>
        </w:rPr>
      </w:pPr>
      <w:r>
        <w:rPr>
          <w:rFonts w:ascii="Georgia" w:hAnsi="Georgia" w:cstheme="minorHAnsi"/>
          <w:b/>
          <w:bCs/>
          <w:sz w:val="24"/>
          <w:szCs w:val="24"/>
        </w:rPr>
        <w:t xml:space="preserve">Figura 2</w:t>
      </w:r>
      <w:r>
        <w:rPr>
          <w:rFonts w:ascii="Georgia" w:hAnsi="Georgia" w:cstheme="minorHAnsi"/>
          <w:sz w:val="24"/>
          <w:szCs w:val="24"/>
        </w:rPr>
        <w:t xml:space="preserve"> – Densidade de novas ocupações na mancha urbana de Alfenas</w:t>
      </w:r>
      <w:r>
        <w:rPr>
          <w:rFonts w:ascii="Georgia" w:hAnsi="Georgia" w:cstheme="minorHAnsi"/>
          <w:sz w:val="24"/>
          <w:szCs w:val="24"/>
        </w:rPr>
      </w:r>
    </w:p>
    <w:p w14:paraId="5FD9F6C9" w14:textId="77777777">
      <w:pPr>
        <w:pBdr/>
        <w:spacing w:after="120" w:line="360" w:lineRule="auto"/>
        <w:ind/>
        <w:jc w:val="center"/>
        <w:rPr>
          <w:rFonts w:ascii="Georgia" w:hAnsi="Georgia" w:cstheme="minorHAnsi"/>
          <w:sz w:val="24"/>
          <w:szCs w:val="24"/>
        </w:rPr>
      </w:pPr>
      <w:r>
        <w:rPr>
          <w:rFonts w:ascii="Georgia" w:hAnsi="Georgia" w:cstheme="minorHAnsi"/>
          <w:sz w:val="24"/>
          <w:szCs w:val="24"/>
        </w:rPr>
        <mc:AlternateContent>
          <mc:Choice Requires="wpg">
            <w:drawing>
              <wp:inline xmlns:wp="http://schemas.openxmlformats.org/drawingml/2006/wordprocessingDrawing" distT="0" distB="0" distL="0" distR="0">
                <wp:extent cx="2530087" cy="3579220"/>
                <wp:effectExtent l="0" t="0" r="3810" b="2540"/>
                <wp:docPr id="7"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pic:cNvPicPr>
                        <pic:nvPr/>
                      </pic:nvPicPr>
                      <pic:blipFill rotWithShape="1">
                        <a:blip r:embed="rId13"/>
                        <a:stretch/>
                      </pic:blipFill>
                      <pic:spPr bwMode="auto">
                        <a:xfrm>
                          <a:off x="0" y="0"/>
                          <a:ext cx="2598747" cy="3676351"/>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199.22pt;height:281.83pt;mso-wrap-distance-left:0.00pt;mso-wrap-distance-top:0.00pt;mso-wrap-distance-right:0.00pt;mso-wrap-distance-bottom:0.00pt;z-index:1;" stroked="f">
                <v:imagedata r:id="rId13" o:title=""/>
                <o:lock v:ext="edit" rotation="t"/>
              </v:shape>
            </w:pict>
          </mc:Fallback>
        </mc:AlternateContent>
      </w:r>
      <w:r>
        <w:rPr>
          <w:rFonts w:ascii="Georgia" w:hAnsi="Georgia" w:cstheme="minorHAnsi"/>
          <w:sz w:val="24"/>
          <w:szCs w:val="24"/>
        </w:rPr>
      </w:r>
    </w:p>
    <w:p w14:paraId="47DD6804" w14:textId="77777777">
      <w:pPr>
        <w:pBdr/>
        <w:spacing w:after="120" w:line="360" w:lineRule="auto"/>
        <w:ind w:left="283"/>
        <w:jc w:val="center"/>
        <w:rPr>
          <w:rFonts w:ascii="Georgia" w:hAnsi="Georgia" w:cstheme="minorHAnsi"/>
          <w:sz w:val="20"/>
          <w:szCs w:val="20"/>
        </w:rPr>
      </w:pPr>
      <w:r>
        <w:rPr>
          <w:rFonts w:ascii="Georgia" w:hAnsi="Georgia" w:cstheme="minorHAnsi"/>
          <w:sz w:val="20"/>
          <w:szCs w:val="20"/>
        </w:rPr>
        <w:t xml:space="preserve">Elaboração: André Luiz da Silva Bellini, 2023.</w:t>
      </w:r>
      <w:r>
        <w:rPr>
          <w:rFonts w:ascii="Georgia" w:hAnsi="Georgia" w:cstheme="minorHAnsi"/>
          <w:sz w:val="20"/>
          <w:szCs w:val="20"/>
        </w:rPr>
      </w:r>
    </w:p>
    <w:p w14:paraId="0CC1CBD7" w14:textId="7A909EC5">
      <w:pPr>
        <w:pBdr/>
        <w:spacing w:after="120" w:line="360" w:lineRule="auto"/>
        <w:ind w:firstLine="700"/>
        <w:jc w:val="both"/>
        <w:rPr>
          <w:rFonts w:ascii="Georgia" w:hAnsi="Georgia" w:cstheme="minorHAnsi"/>
          <w:b/>
          <w:sz w:val="24"/>
          <w:szCs w:val="24"/>
        </w:rPr>
      </w:pPr>
      <w:r>
        <w:rPr>
          <w:rFonts w:ascii="Georgia" w:hAnsi="Georgia" w:cstheme="minorHAnsi"/>
          <w:sz w:val="24"/>
          <w:szCs w:val="24"/>
        </w:rPr>
        <w:t xml:space="preserve">Nas duas últimas décadas foram </w:t>
      </w:r>
      <w:r>
        <w:rPr>
          <w:rFonts w:ascii="Georgia" w:hAnsi="Georgia" w:cstheme="minorHAnsi"/>
          <w:sz w:val="24"/>
          <w:szCs w:val="24"/>
        </w:rPr>
        <w:t xml:space="preserve">implantados </w:t>
      </w:r>
      <w:r>
        <w:rPr>
          <w:rFonts w:ascii="Georgia" w:hAnsi="Georgia" w:cstheme="minorHAnsi"/>
          <w:sz w:val="24"/>
          <w:szCs w:val="24"/>
        </w:rPr>
        <w:t xml:space="preserve">mais de vinte novos loteamentos na cidade, cinco de</w:t>
      </w:r>
      <w:r>
        <w:rPr>
          <w:rFonts w:ascii="Georgia" w:hAnsi="Georgia" w:cstheme="minorHAnsi"/>
          <w:sz w:val="24"/>
          <w:szCs w:val="24"/>
        </w:rPr>
        <w:t xml:space="preserve">ste</w:t>
      </w:r>
      <w:r>
        <w:rPr>
          <w:rFonts w:ascii="Georgia" w:hAnsi="Georgia" w:cstheme="minorHAnsi"/>
          <w:sz w:val="24"/>
          <w:szCs w:val="24"/>
        </w:rPr>
        <w:t xml:space="preserve">s fechados de alto padrão, a maioria na zona leste, próximos ao bairro Aeroporto. Os dados do SIDRA-IBG</w:t>
      </w:r>
      <w:r>
        <w:rPr>
          <w:rFonts w:ascii="Georgia" w:hAnsi="Georgia" w:cstheme="minorHAnsi"/>
          <w:sz w:val="24"/>
          <w:szCs w:val="24"/>
        </w:rPr>
        <w:t xml:space="preserve">E (2024), na Figura 3 a seguir, demonstram um contínuo crescimento de empresas de construção em Alfenas, nas duas últimas décadas, confirmando um aumento da demanda do setor na cidade, de 2006 a 2021, este número triplicou, passando de 55 a 165 no período.</w:t>
      </w:r>
      <w:r>
        <w:rPr>
          <w:rFonts w:ascii="Georgia" w:hAnsi="Georgia" w:cstheme="minorHAnsi"/>
          <w:b/>
          <w:sz w:val="24"/>
          <w:szCs w:val="24"/>
        </w:rPr>
      </w:r>
    </w:p>
    <w:p w14:paraId="5BD21C0C">
      <w:pPr>
        <w:pBdr/>
        <w:spacing w:after="120" w:line="360" w:lineRule="auto"/>
        <w:ind/>
        <w:jc w:val="center"/>
        <w:rPr>
          <w:rFonts w:ascii="Georgia" w:hAnsi="Georgia" w:cstheme="minorHAnsi"/>
          <w:b/>
          <w:bCs/>
          <w:sz w:val="24"/>
          <w:szCs w:val="24"/>
        </w:rPr>
      </w:pPr>
      <w:r>
        <w:rPr>
          <w:rFonts w:ascii="Georgia" w:hAnsi="Georgia" w:cstheme="minorHAnsi"/>
          <w:bCs/>
          <w:sz w:val="24"/>
          <w:szCs w:val="24"/>
          <w:highlight w:val="none"/>
        </w:rPr>
      </w:r>
      <w:r>
        <w:rPr>
          <w:rFonts w:ascii="Georgia" w:hAnsi="Georgia" w:cstheme="minorHAnsi"/>
          <w:bCs/>
          <w:sz w:val="24"/>
          <w:szCs w:val="24"/>
          <w:highlight w:val="none"/>
        </w:rPr>
      </w:r>
      <w:r>
        <w:rPr>
          <w:rFonts w:ascii="Georgia" w:hAnsi="Georgia" w:cstheme="minorHAnsi"/>
          <w:bCs/>
          <w:sz w:val="24"/>
          <w:szCs w:val="24"/>
          <w:highlight w:val="none"/>
        </w:rPr>
      </w:r>
    </w:p>
    <w:p w14:paraId="032210EE">
      <w:pPr>
        <w:pBdr/>
        <w:spacing w:after="120" w:line="360" w:lineRule="auto"/>
        <w:ind/>
        <w:jc w:val="center"/>
        <w:rPr>
          <w:rFonts w:ascii="Georgia" w:hAnsi="Georgia" w:cstheme="minorHAnsi"/>
          <w:sz w:val="24"/>
          <w:szCs w:val="24"/>
          <w:highlight w:val="none"/>
        </w:rPr>
      </w:pPr>
      <w:r>
        <w:rPr>
          <w:rFonts w:ascii="Georgia" w:hAnsi="Georgia" w:cstheme="minorHAnsi"/>
          <w:bCs/>
          <w:sz w:val="24"/>
          <w:szCs w:val="24"/>
          <w:highlight w:val="none"/>
        </w:rPr>
      </w:r>
      <w:r>
        <w:rPr>
          <w:rFonts w:ascii="Georgia" w:hAnsi="Georgia" w:cstheme="minorHAnsi"/>
          <w:bCs/>
          <w:sz w:val="24"/>
          <w:szCs w:val="24"/>
          <w:highlight w:val="none"/>
        </w:rPr>
      </w:r>
      <w:r>
        <w:rPr>
          <w:rFonts w:ascii="Georgia" w:hAnsi="Georgia" w:cstheme="minorHAnsi"/>
          <w:bCs/>
          <w:sz w:val="24"/>
          <w:szCs w:val="24"/>
          <w:highlight w:val="none"/>
        </w:rPr>
      </w:r>
    </w:p>
    <w:p w14:paraId="68CD3860">
      <w:pPr>
        <w:pBdr/>
        <w:spacing w:after="120" w:line="360" w:lineRule="auto"/>
        <w:ind/>
        <w:jc w:val="center"/>
        <w:rPr>
          <w:rFonts w:ascii="Georgia" w:hAnsi="Georgia" w:cstheme="minorHAnsi"/>
          <w:sz w:val="24"/>
          <w:szCs w:val="24"/>
          <w:highlight w:val="none"/>
        </w:rPr>
      </w:pPr>
      <w:r>
        <w:rPr>
          <w:rFonts w:ascii="Georgia" w:hAnsi="Georgia" w:cstheme="minorHAnsi"/>
          <w:bCs/>
          <w:sz w:val="24"/>
          <w:szCs w:val="24"/>
          <w:highlight w:val="none"/>
        </w:rPr>
      </w:r>
      <w:r>
        <w:rPr>
          <w:rFonts w:ascii="Georgia" w:hAnsi="Georgia" w:cstheme="minorHAnsi"/>
          <w:bCs/>
          <w:sz w:val="24"/>
          <w:szCs w:val="24"/>
          <w:highlight w:val="none"/>
        </w:rPr>
      </w:r>
      <w:r>
        <w:rPr>
          <w:rFonts w:ascii="Georgia" w:hAnsi="Georgia" w:cstheme="minorHAnsi"/>
          <w:bCs/>
          <w:sz w:val="24"/>
          <w:szCs w:val="24"/>
          <w:highlight w:val="none"/>
        </w:rPr>
      </w:r>
    </w:p>
    <w:p w14:paraId="54532C7F">
      <w:pPr>
        <w:pBdr/>
        <w:spacing w:after="120" w:line="360" w:lineRule="auto"/>
        <w:ind/>
        <w:jc w:val="center"/>
        <w:rPr>
          <w:rFonts w:ascii="Georgia" w:hAnsi="Georgia" w:cstheme="minorHAnsi"/>
          <w:sz w:val="24"/>
          <w:szCs w:val="24"/>
          <w:highlight w:val="none"/>
        </w:rPr>
      </w:pPr>
      <w:r>
        <w:rPr>
          <w:rFonts w:ascii="Georgia" w:hAnsi="Georgia" w:cstheme="minorHAnsi"/>
          <w:bCs/>
          <w:sz w:val="24"/>
          <w:szCs w:val="24"/>
          <w:highlight w:val="none"/>
        </w:rPr>
      </w:r>
      <w:r>
        <w:rPr>
          <w:rFonts w:ascii="Georgia" w:hAnsi="Georgia" w:cstheme="minorHAnsi"/>
          <w:bCs/>
          <w:sz w:val="24"/>
          <w:szCs w:val="24"/>
          <w:highlight w:val="none"/>
        </w:rPr>
      </w:r>
      <w:r>
        <w:rPr>
          <w:rFonts w:ascii="Georgia" w:hAnsi="Georgia" w:cstheme="minorHAnsi"/>
          <w:bCs/>
          <w:sz w:val="24"/>
          <w:szCs w:val="24"/>
          <w:highlight w:val="none"/>
        </w:rPr>
      </w:r>
    </w:p>
    <w:p w14:paraId="08C99F68">
      <w:pPr>
        <w:pBdr/>
        <w:spacing w:after="120" w:line="360" w:lineRule="auto"/>
        <w:ind/>
        <w:jc w:val="center"/>
        <w:rPr>
          <w:rFonts w:ascii="Georgia" w:hAnsi="Georgia" w:cstheme="minorHAnsi"/>
          <w:sz w:val="24"/>
          <w:szCs w:val="24"/>
          <w:highlight w:val="none"/>
        </w:rPr>
      </w:pPr>
      <w:r>
        <w:rPr>
          <w:rFonts w:ascii="Georgia" w:hAnsi="Georgia" w:cstheme="minorHAnsi"/>
          <w:bCs/>
          <w:sz w:val="24"/>
          <w:szCs w:val="24"/>
          <w:highlight w:val="none"/>
        </w:rPr>
      </w:r>
      <w:r>
        <w:rPr>
          <w:rFonts w:ascii="Georgia" w:hAnsi="Georgia" w:cstheme="minorHAnsi"/>
          <w:bCs/>
          <w:sz w:val="24"/>
          <w:szCs w:val="24"/>
          <w:highlight w:val="none"/>
        </w:rPr>
      </w:r>
      <w:r>
        <w:rPr>
          <w:rFonts w:ascii="Georgia" w:hAnsi="Georgia" w:cstheme="minorHAnsi"/>
          <w:bCs/>
          <w:sz w:val="24"/>
          <w:szCs w:val="24"/>
          <w:highlight w:val="none"/>
        </w:rPr>
      </w:r>
    </w:p>
    <w:p w14:paraId="1BC6D48E">
      <w:pPr>
        <w:pBdr/>
        <w:spacing w:after="120" w:line="360" w:lineRule="auto"/>
        <w:ind/>
        <w:jc w:val="center"/>
        <w:rPr>
          <w:rFonts w:ascii="Georgia" w:hAnsi="Georgia" w:cstheme="minorHAnsi"/>
          <w:sz w:val="24"/>
          <w:szCs w:val="24"/>
          <w:highlight w:val="none"/>
        </w:rPr>
      </w:pPr>
      <w:r>
        <w:rPr>
          <w:rFonts w:ascii="Georgia" w:hAnsi="Georgia" w:cstheme="minorHAnsi"/>
          <w:bCs/>
          <w:sz w:val="24"/>
          <w:szCs w:val="24"/>
          <w:highlight w:val="none"/>
        </w:rPr>
      </w:r>
      <w:r>
        <w:rPr>
          <w:rFonts w:ascii="Georgia" w:hAnsi="Georgia" w:cstheme="minorHAnsi"/>
          <w:bCs/>
          <w:sz w:val="24"/>
          <w:szCs w:val="24"/>
          <w:highlight w:val="none"/>
        </w:rPr>
      </w:r>
      <w:r>
        <w:rPr>
          <w:rFonts w:ascii="Georgia" w:hAnsi="Georgia" w:cstheme="minorHAnsi"/>
          <w:bCs/>
          <w:sz w:val="24"/>
          <w:szCs w:val="24"/>
          <w:highlight w:val="none"/>
        </w:rPr>
      </w:r>
    </w:p>
    <w:p w14:paraId="79675DD4">
      <w:pPr>
        <w:pBdr/>
        <w:spacing w:after="120" w:line="360" w:lineRule="auto"/>
        <w:ind/>
        <w:jc w:val="center"/>
        <w:rPr>
          <w:rFonts w:ascii="Georgia" w:hAnsi="Georgia" w:cstheme="minorHAnsi"/>
          <w:sz w:val="24"/>
          <w:szCs w:val="24"/>
          <w:highlight w:val="none"/>
        </w:rPr>
      </w:pPr>
      <w:r>
        <w:rPr>
          <w:rFonts w:ascii="Georgia" w:hAnsi="Georgia" w:cstheme="minorHAnsi"/>
          <w:bCs/>
          <w:sz w:val="24"/>
          <w:szCs w:val="24"/>
          <w:highlight w:val="none"/>
        </w:rPr>
      </w:r>
      <w:r>
        <w:rPr>
          <w:rFonts w:ascii="Georgia" w:hAnsi="Georgia" w:cstheme="minorHAnsi"/>
          <w:bCs/>
          <w:sz w:val="24"/>
          <w:szCs w:val="24"/>
          <w:highlight w:val="none"/>
        </w:rPr>
      </w:r>
      <w:r>
        <w:rPr>
          <w:rFonts w:ascii="Georgia" w:hAnsi="Georgia" w:cstheme="minorHAnsi"/>
          <w:bCs/>
          <w:sz w:val="24"/>
          <w:szCs w:val="24"/>
          <w:highlight w:val="none"/>
        </w:rPr>
      </w:r>
    </w:p>
    <w:p w14:paraId="315B63E2" w14:textId="35049B2D">
      <w:pPr>
        <w:pBdr/>
        <w:spacing w:after="120" w:line="360" w:lineRule="auto"/>
        <w:ind/>
        <w:jc w:val="center"/>
        <w:rPr>
          <w:rFonts w:ascii="Georgia" w:hAnsi="Georgia" w:cstheme="minorHAnsi"/>
          <w:sz w:val="24"/>
          <w:szCs w:val="24"/>
          <w:highlight w:val="none"/>
        </w:rPr>
      </w:pPr>
      <w:r>
        <w:rPr>
          <w:rFonts w:ascii="Georgia" w:hAnsi="Georgia" w:cstheme="minorHAnsi"/>
          <w:b/>
          <w:sz w:val="24"/>
          <w:szCs w:val="24"/>
        </w:rPr>
        <w:t xml:space="preserve">Figura 3 </w:t>
      </w:r>
      <w:r>
        <w:rPr>
          <w:rFonts w:ascii="Georgia" w:hAnsi="Georgia" w:cstheme="minorHAnsi"/>
          <w:bCs/>
          <w:sz w:val="24"/>
          <w:szCs w:val="24"/>
        </w:rPr>
        <w:t xml:space="preserve">– Número de empresas da construção em Alfenas entre 2006 e 2021</w:t>
      </w:r>
      <w:r>
        <w:rPr>
          <w:rFonts w:ascii="Georgia" w:hAnsi="Georgia" w:cstheme="minorHAnsi"/>
          <w:b/>
          <w:sz w:val="24"/>
          <w:szCs w:val="24"/>
        </w:rPr>
      </w:r>
    </w:p>
    <w:p w14:paraId="1A13A820" w14:textId="77777777">
      <w:pPr>
        <w:pBdr/>
        <w:spacing w:after="120" w:line="360" w:lineRule="auto"/>
        <w:ind/>
        <w:jc w:val="center"/>
        <w:rPr>
          <w:rFonts w:ascii="Georgia" w:hAnsi="Georgia" w:cstheme="minorHAnsi"/>
          <w:b/>
          <w:sz w:val="24"/>
          <w:szCs w:val="24"/>
        </w:rPr>
      </w:pPr>
      <w:r>
        <w:rPr>
          <w:rFonts w:ascii="Georgia" w:hAnsi="Georgia" w:cstheme="minorHAnsi"/>
          <w:b/>
          <w:sz w:val="24"/>
          <w:szCs w:val="24"/>
        </w:rPr>
        <mc:AlternateContent>
          <mc:Choice Requires="wpg">
            <w:drawing>
              <wp:inline xmlns:wp="http://schemas.openxmlformats.org/drawingml/2006/wordprocessingDrawing" distT="0" distB="0" distL="0" distR="0">
                <wp:extent cx="3553460" cy="2098040"/>
                <wp:effectExtent l="0" t="0" r="8890" b="0"/>
                <wp:docPr id="8" name="image13.gif"/>
                <wp:cNvGraphicFramePr/>
                <a:graphic xmlns:a="http://schemas.openxmlformats.org/drawingml/2006/main">
                  <a:graphicData uri="http://schemas.openxmlformats.org/drawingml/2006/picture">
                    <pic:pic xmlns:pic="http://schemas.openxmlformats.org/drawingml/2006/picture">
                      <pic:nvPicPr>
                        <pic:cNvPr id="0" name="image13.gif"/>
                        <pic:cNvPicPr/>
                        <pic:nvPr/>
                      </pic:nvPicPr>
                      <pic:blipFill rotWithShape="1">
                        <a:blip r:embed="rId14"/>
                        <a:stretch/>
                      </pic:blipFill>
                      <pic:spPr bwMode="auto">
                        <a:xfrm>
                          <a:off x="0" y="0"/>
                          <a:ext cx="3553460" cy="2098040"/>
                        </a:xfrm>
                        <a:prstGeom prst="rect">
                          <a:avLst/>
                        </a:prstGeom>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79.80pt;height:165.20pt;mso-wrap-distance-left:0.00pt;mso-wrap-distance-top:0.00pt;mso-wrap-distance-right:0.00pt;mso-wrap-distance-bottom:0.00pt;z-index:1;">
                <v:imagedata r:id="rId14" o:title=""/>
                <o:lock v:ext="edit" rotation="t"/>
              </v:shape>
            </w:pict>
          </mc:Fallback>
        </mc:AlternateContent>
      </w:r>
      <w:r>
        <w:rPr>
          <w:rFonts w:ascii="Georgia" w:hAnsi="Georgia" w:cstheme="minorHAnsi"/>
          <w:b/>
          <w:sz w:val="24"/>
          <w:szCs w:val="24"/>
        </w:rPr>
      </w:r>
    </w:p>
    <w:p w14:paraId="7F2590FD" w14:textId="77777777">
      <w:pPr>
        <w:pBdr/>
        <w:spacing w:after="120" w:line="360" w:lineRule="auto"/>
        <w:ind/>
        <w:jc w:val="center"/>
        <w:rPr>
          <w:rFonts w:ascii="Georgia" w:hAnsi="Georgia" w:cstheme="minorHAnsi"/>
        </w:rPr>
      </w:pPr>
      <w:r>
        <w:rPr>
          <w:rFonts w:ascii="Georgia" w:hAnsi="Georgia" w:cstheme="minorHAnsi"/>
          <w:sz w:val="20"/>
          <w:szCs w:val="20"/>
        </w:rPr>
        <w:t xml:space="preserve">Fonte: Cadastro Central de Empresas, SIDRA-IBGE, 2024. Organização: o autor</w:t>
      </w:r>
      <w:r>
        <w:rPr>
          <w:rFonts w:ascii="Georgia" w:hAnsi="Georgia" w:cstheme="minorHAnsi"/>
        </w:rPr>
        <w:t xml:space="preserve">.</w:t>
      </w:r>
      <w:r>
        <w:rPr>
          <w:rFonts w:ascii="Georgia" w:hAnsi="Georgia" w:cstheme="minorHAnsi"/>
        </w:rPr>
      </w:r>
    </w:p>
    <w:p w14:paraId="09BE6C02" w14:textId="47DF55A7">
      <w:pPr>
        <w:pBdr/>
        <w:spacing w:after="120" w:line="360" w:lineRule="auto"/>
        <w:ind/>
        <w:jc w:val="both"/>
        <w:rPr>
          <w:rFonts w:ascii="Georgia" w:hAnsi="Georgia" w:cstheme="minorHAnsi"/>
        </w:rPr>
      </w:pPr>
      <w:r>
        <w:rPr>
          <w:rFonts w:ascii="Georgia" w:hAnsi="Georgia" w:cstheme="minorHAnsi"/>
        </w:rPr>
        <w:t xml:space="preserve"> </w:t>
      </w:r>
      <w:r>
        <w:rPr>
          <w:rFonts w:ascii="Georgia" w:hAnsi="Georgia" w:cstheme="minorHAnsi"/>
        </w:rPr>
        <w:tab/>
      </w:r>
      <w:r>
        <w:rPr>
          <w:rFonts w:ascii="Georgia" w:hAnsi="Georgia" w:cstheme="minorHAnsi"/>
          <w:sz w:val="24"/>
          <w:szCs w:val="24"/>
        </w:rPr>
        <w:t xml:space="preserve">O setor da construção civil é um bom indicador do crescimento</w:t>
      </w:r>
      <w:r>
        <w:rPr>
          <w:rFonts w:ascii="Georgia" w:hAnsi="Georgia" w:cstheme="minorHAnsi"/>
          <w:sz w:val="24"/>
          <w:szCs w:val="24"/>
        </w:rPr>
        <w:t xml:space="preserve"> urbano</w:t>
      </w:r>
      <w:r>
        <w:rPr>
          <w:rFonts w:ascii="Georgia" w:hAnsi="Georgia" w:cstheme="minorHAnsi"/>
          <w:sz w:val="24"/>
          <w:szCs w:val="24"/>
        </w:rPr>
        <w:t xml:space="preserve">, pois este repercute nos segme</w:t>
      </w:r>
      <w:r>
        <w:rPr>
          <w:rFonts w:ascii="Georgia" w:hAnsi="Georgia" w:cstheme="minorHAnsi"/>
          <w:sz w:val="24"/>
          <w:szCs w:val="24"/>
        </w:rPr>
        <w:t xml:space="preserve">ntos de materiais de construção, móveis, eletrodomésticos, financiamentos, mercado de trabalho etc.  Portanto, movimenta os serviços que geram fluxos de pessoas, mercadorias e investimentos, setor este que possui mais influência na geração de polarizações </w:t>
      </w:r>
      <w:r>
        <w:rPr>
          <w:rFonts w:ascii="Georgia" w:hAnsi="Georgia" w:cstheme="minorHAnsi"/>
          <w:sz w:val="24"/>
          <w:szCs w:val="24"/>
        </w:rPr>
        <w:t xml:space="preserve">intra</w:t>
      </w:r>
      <w:r>
        <w:rPr>
          <w:rFonts w:ascii="Georgia" w:hAnsi="Georgia" w:cstheme="minorHAnsi"/>
          <w:sz w:val="24"/>
          <w:szCs w:val="24"/>
        </w:rPr>
        <w:t xml:space="preserve"> e interurbana.</w:t>
      </w:r>
      <w:r>
        <w:rPr>
          <w:rFonts w:ascii="Georgia" w:hAnsi="Georgia" w:cstheme="minorHAnsi"/>
        </w:rPr>
      </w:r>
    </w:p>
    <w:p w14:paraId="6942499D" w14:textId="77777777">
      <w:pPr>
        <w:pBdr/>
        <w:spacing w:after="120" w:line="360" w:lineRule="auto"/>
        <w:ind w:firstLine="700"/>
        <w:jc w:val="both"/>
        <w:rPr>
          <w:rFonts w:ascii="Georgia" w:hAnsi="Georgia" w:cstheme="minorHAnsi"/>
          <w:sz w:val="24"/>
          <w:szCs w:val="24"/>
        </w:rPr>
      </w:pPr>
      <w:r>
        <w:rPr>
          <w:rFonts w:ascii="Georgia" w:hAnsi="Georgia" w:cstheme="minorHAnsi"/>
          <w:sz w:val="24"/>
          <w:szCs w:val="24"/>
        </w:rPr>
        <w:t xml:space="preserve">Articulada </w:t>
      </w:r>
      <w:r>
        <w:rPr>
          <w:rFonts w:ascii="Georgia" w:hAnsi="Georgia" w:cstheme="minorHAnsi"/>
          <w:sz w:val="24"/>
          <w:szCs w:val="24"/>
        </w:rPr>
        <w:t xml:space="preserve">à dinâmica do setor da construção, um crescente número de empresas imobiliárias pode ser verificado na Figura 4 a seguir, corroborando a capacidade que o setor da construção tem em mobilizar outros setores econômicos, especialmente nos serviços e comércio.</w:t>
      </w:r>
      <w:r>
        <w:rPr>
          <w:rFonts w:ascii="Georgia" w:hAnsi="Georgia" w:cstheme="minorHAnsi"/>
          <w:sz w:val="24"/>
          <w:szCs w:val="24"/>
        </w:rPr>
      </w:r>
    </w:p>
    <w:p w14:paraId="6B504021" w14:textId="1682E838">
      <w:pPr>
        <w:pBdr/>
        <w:spacing w:after="120" w:line="360" w:lineRule="auto"/>
        <w:ind/>
        <w:jc w:val="center"/>
        <w:rPr>
          <w:rFonts w:ascii="Georgia" w:hAnsi="Georgia" w:cstheme="minorHAnsi"/>
          <w:b/>
          <w:sz w:val="24"/>
          <w:szCs w:val="24"/>
        </w:rPr>
      </w:pPr>
      <w:r>
        <w:rPr>
          <w:rFonts w:ascii="Georgia" w:hAnsi="Georgia" w:cstheme="minorHAnsi"/>
          <w:b/>
          <w:sz w:val="24"/>
          <w:szCs w:val="24"/>
        </w:rPr>
        <w:t xml:space="preserve">Figura 4 </w:t>
      </w:r>
      <w:r>
        <w:rPr>
          <w:rFonts w:ascii="Georgia" w:hAnsi="Georgia" w:cstheme="minorHAnsi"/>
          <w:bCs/>
          <w:sz w:val="24"/>
          <w:szCs w:val="24"/>
        </w:rPr>
        <w:t xml:space="preserve">– Número de empresas imobiliárias em Alfenas entre 2006 e 2021</w:t>
      </w:r>
      <w:r>
        <w:rPr>
          <w:rFonts w:ascii="Georgia" w:hAnsi="Georgia" w:cstheme="minorHAnsi"/>
          <w:b/>
          <w:sz w:val="24"/>
          <w:szCs w:val="24"/>
        </w:rPr>
      </w:r>
    </w:p>
    <w:p w14:paraId="00B91CEA" w14:textId="77777777">
      <w:pPr>
        <w:pBdr/>
        <w:spacing w:after="120" w:line="360" w:lineRule="auto"/>
        <w:ind/>
        <w:jc w:val="center"/>
        <w:rPr>
          <w:rFonts w:ascii="Georgia" w:hAnsi="Georgia" w:cstheme="minorHAnsi"/>
          <w:b/>
          <w:sz w:val="24"/>
          <w:szCs w:val="24"/>
        </w:rPr>
      </w:pPr>
      <w:r>
        <w:rPr>
          <w:rFonts w:ascii="Georgia" w:hAnsi="Georgia" w:cstheme="minorHAnsi"/>
          <w:b/>
          <w:sz w:val="24"/>
          <w:szCs w:val="24"/>
        </w:rPr>
        <mc:AlternateContent>
          <mc:Choice Requires="wpg">
            <w:drawing>
              <wp:inline xmlns:wp="http://schemas.openxmlformats.org/drawingml/2006/wordprocessingDrawing" distT="0" distB="0" distL="0" distR="0">
                <wp:extent cx="3591560" cy="2049780"/>
                <wp:effectExtent l="0" t="0" r="8890" b="7620"/>
                <wp:docPr id="9" name="image1.gif"/>
                <wp:cNvGraphicFramePr/>
                <a:graphic xmlns:a="http://schemas.openxmlformats.org/drawingml/2006/main">
                  <a:graphicData uri="http://schemas.openxmlformats.org/drawingml/2006/picture">
                    <pic:pic xmlns:pic="http://schemas.openxmlformats.org/drawingml/2006/picture">
                      <pic:nvPicPr>
                        <pic:cNvPr id="0" name="image1.gif"/>
                        <pic:cNvPicPr/>
                        <pic:nvPr/>
                      </pic:nvPicPr>
                      <pic:blipFill rotWithShape="1">
                        <a:blip r:embed="rId15"/>
                        <a:stretch/>
                      </pic:blipFill>
                      <pic:spPr bwMode="auto">
                        <a:xfrm>
                          <a:off x="0" y="0"/>
                          <a:ext cx="3591560" cy="2049780"/>
                        </a:xfrm>
                        <a:prstGeom prst="rect">
                          <a:avLst/>
                        </a:prstGeom>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82.80pt;height:161.40pt;mso-wrap-distance-left:0.00pt;mso-wrap-distance-top:0.00pt;mso-wrap-distance-right:0.00pt;mso-wrap-distance-bottom:0.00pt;z-index:1;">
                <v:imagedata r:id="rId15" o:title=""/>
                <o:lock v:ext="edit" rotation="t"/>
              </v:shape>
            </w:pict>
          </mc:Fallback>
        </mc:AlternateContent>
      </w:r>
      <w:r>
        <w:rPr>
          <w:rFonts w:ascii="Georgia" w:hAnsi="Georgia" w:cstheme="minorHAnsi"/>
          <w:b/>
          <w:sz w:val="24"/>
          <w:szCs w:val="24"/>
        </w:rPr>
      </w:r>
    </w:p>
    <w:p w14:paraId="5896F846" w14:textId="77777777">
      <w:pPr>
        <w:pBdr/>
        <w:spacing w:after="120" w:line="360" w:lineRule="auto"/>
        <w:ind/>
        <w:jc w:val="center"/>
        <w:rPr>
          <w:rFonts w:ascii="Georgia" w:hAnsi="Georgia" w:cstheme="minorHAnsi"/>
          <w:sz w:val="20"/>
          <w:szCs w:val="20"/>
        </w:rPr>
      </w:pPr>
      <w:r>
        <w:rPr>
          <w:rFonts w:ascii="Georgia" w:hAnsi="Georgia" w:cstheme="minorHAnsi"/>
          <w:sz w:val="20"/>
          <w:szCs w:val="20"/>
        </w:rPr>
        <w:t xml:space="preserve">Fonte: Cadastro Central de Empresas, SIDRA-IBGE, 2024. Organização: o autor.</w:t>
      </w:r>
      <w:r>
        <w:rPr>
          <w:rFonts w:ascii="Georgia" w:hAnsi="Georgia" w:cstheme="minorHAnsi"/>
          <w:sz w:val="20"/>
          <w:szCs w:val="20"/>
        </w:rPr>
      </w:r>
    </w:p>
    <w:p w14:paraId="32BF8945" w14:textId="31E01C32">
      <w:pPr>
        <w:pBdr/>
        <w:spacing w:after="120" w:line="360" w:lineRule="auto"/>
        <w:ind w:firstLine="700"/>
        <w:jc w:val="both"/>
        <w:rPr>
          <w:rFonts w:ascii="Georgia" w:hAnsi="Georgia" w:cstheme="minorHAnsi"/>
          <w:sz w:val="24"/>
          <w:szCs w:val="24"/>
        </w:rPr>
      </w:pPr>
      <w:r>
        <w:rPr>
          <w:rFonts w:ascii="Georgia" w:hAnsi="Georgia" w:cstheme="minorHAnsi"/>
          <w:sz w:val="24"/>
          <w:szCs w:val="24"/>
        </w:rPr>
        <w:t xml:space="preserve">No contexto atual de refuncionalização das cidades e de reestruturação da rede urbana em função do desenvolvimento das Tecnologias de Informação e Comunicação (TICs), o desafio é compreender os novos arranjos urbano-regionais, em um quadro </w:t>
      </w:r>
      <w:r>
        <w:rPr>
          <w:rFonts w:ascii="Georgia" w:hAnsi="Georgia" w:cstheme="minorHAnsi"/>
          <w:sz w:val="24"/>
          <w:szCs w:val="24"/>
        </w:rPr>
        <w:t xml:space="preserve">multiescalar</w:t>
      </w:r>
      <w:r>
        <w:rPr>
          <w:rFonts w:ascii="Georgia" w:hAnsi="Georgia" w:cstheme="minorHAnsi"/>
          <w:sz w:val="24"/>
          <w:szCs w:val="24"/>
        </w:rPr>
        <w:t xml:space="preserve"> e de formação de </w:t>
      </w:r>
      <w:r>
        <w:rPr>
          <w:rFonts w:ascii="Georgia" w:hAnsi="Georgia" w:cstheme="minorHAnsi"/>
          <w:sz w:val="24"/>
          <w:szCs w:val="24"/>
        </w:rPr>
        <w:t xml:space="preserve">policentralidades</w:t>
      </w:r>
      <w:r>
        <w:rPr>
          <w:rFonts w:ascii="Georgia" w:hAnsi="Georgia" w:cstheme="minorHAnsi"/>
          <w:sz w:val="24"/>
          <w:szCs w:val="24"/>
        </w:rPr>
        <w:t xml:space="preserve"> que v</w:t>
      </w:r>
      <w:r>
        <w:rPr>
          <w:rFonts w:ascii="Georgia" w:hAnsi="Georgia" w:cstheme="minorHAnsi"/>
          <w:sz w:val="24"/>
          <w:szCs w:val="24"/>
        </w:rPr>
        <w:t xml:space="preserve">ê</w:t>
      </w:r>
      <w:r>
        <w:rPr>
          <w:rFonts w:ascii="Georgia" w:hAnsi="Georgia" w:cstheme="minorHAnsi"/>
          <w:sz w:val="24"/>
          <w:szCs w:val="24"/>
        </w:rPr>
        <w:t xml:space="preserve">m transformando os municípios da Região Imediata de Alfenas. Verifica-se uma sobreposição de redes mais recentes</w:t>
      </w:r>
      <w:r>
        <w:rPr>
          <w:rFonts w:ascii="Georgia" w:hAnsi="Georgia" w:cstheme="minorHAnsi"/>
          <w:sz w:val="24"/>
          <w:szCs w:val="24"/>
        </w:rPr>
        <w:t xml:space="preserve"> em relação </w:t>
      </w:r>
      <w:r>
        <w:rPr>
          <w:rFonts w:ascii="Georgia" w:hAnsi="Georgia" w:cstheme="minorHAnsi"/>
          <w:sz w:val="24"/>
          <w:szCs w:val="24"/>
        </w:rPr>
        <w:t xml:space="preserve">às do passado</w:t>
      </w:r>
      <w:r>
        <w:rPr>
          <w:rFonts w:ascii="Georgia" w:hAnsi="Georgia" w:cstheme="minorHAnsi"/>
          <w:sz w:val="24"/>
          <w:szCs w:val="24"/>
        </w:rPr>
        <w:t xml:space="preserve">, denotando uma maior complexidade do padrão reticular, caracterizado por múltiplos circuitos.</w:t>
      </w:r>
      <w:r>
        <w:rPr>
          <w:rFonts w:ascii="Georgia" w:hAnsi="Georgia" w:cstheme="minorHAnsi"/>
          <w:sz w:val="24"/>
          <w:szCs w:val="24"/>
        </w:rPr>
      </w:r>
    </w:p>
    <w:p w14:paraId="12934089" w14:textId="7FDD3E48">
      <w:pPr>
        <w:pBdr/>
        <w:spacing w:after="120" w:line="360" w:lineRule="auto"/>
        <w:ind w:firstLine="700"/>
        <w:jc w:val="both"/>
        <w:rPr>
          <w:rFonts w:ascii="Georgia" w:hAnsi="Georgia" w:cstheme="minorHAnsi"/>
          <w:sz w:val="24"/>
          <w:szCs w:val="24"/>
        </w:rPr>
      </w:pPr>
      <w:r>
        <w:rPr>
          <w:rFonts w:ascii="Georgia" w:hAnsi="Georgia" w:cstheme="minorHAnsi"/>
          <w:sz w:val="24"/>
          <w:szCs w:val="24"/>
        </w:rPr>
        <w:t xml:space="preserve">Entretanto, a</w:t>
      </w:r>
      <w:r>
        <w:rPr>
          <w:rFonts w:ascii="Georgia" w:hAnsi="Georgia" w:cstheme="minorHAnsi"/>
          <w:sz w:val="24"/>
          <w:szCs w:val="24"/>
        </w:rPr>
        <w:t xml:space="preserve"> rede de lugares centrais mais tradicional não desaparece, ela mantém sua funcionalidade abrangendo as escalas </w:t>
      </w:r>
      <w:r>
        <w:rPr>
          <w:rFonts w:ascii="Georgia" w:hAnsi="Georgia" w:cstheme="minorHAnsi"/>
          <w:sz w:val="24"/>
          <w:szCs w:val="24"/>
        </w:rPr>
        <w:t xml:space="preserve">intra</w:t>
      </w:r>
      <w:r>
        <w:rPr>
          <w:rFonts w:ascii="Georgia" w:hAnsi="Georgia" w:cstheme="minorHAnsi"/>
          <w:sz w:val="24"/>
          <w:szCs w:val="24"/>
        </w:rPr>
        <w:t xml:space="preserve"> e interurbana, porém coexistindo cada vez mais com as redes informacionais do </w:t>
      </w:r>
      <w:r>
        <w:rPr>
          <w:rFonts w:ascii="Georgia" w:hAnsi="Georgia" w:cstheme="minorHAnsi"/>
          <w:i/>
          <w:sz w:val="24"/>
          <w:szCs w:val="24"/>
        </w:rPr>
        <w:t xml:space="preserve">e</w:t>
      </w:r>
      <w:r>
        <w:rPr>
          <w:rFonts w:ascii="Georgia" w:hAnsi="Georgia" w:cstheme="minorHAnsi"/>
          <w:i/>
          <w:sz w:val="24"/>
          <w:szCs w:val="24"/>
        </w:rPr>
        <w:t xml:space="preserve">-</w:t>
      </w:r>
      <w:r>
        <w:rPr>
          <w:rFonts w:ascii="Georgia" w:hAnsi="Georgia" w:cstheme="minorHAnsi"/>
          <w:i/>
          <w:sz w:val="24"/>
          <w:szCs w:val="24"/>
        </w:rPr>
        <w:t xml:space="preserve">commerce </w:t>
      </w:r>
      <w:r>
        <w:rPr>
          <w:rFonts w:ascii="Georgia" w:hAnsi="Georgia" w:cstheme="minorHAnsi"/>
          <w:sz w:val="24"/>
          <w:szCs w:val="24"/>
        </w:rPr>
        <w:t xml:space="preserve">com centralidades em outros pontos do território nacional ou global. A rede de lugares centrais é alterada com o estabelecimento d</w:t>
      </w:r>
      <w:r>
        <w:rPr>
          <w:rFonts w:ascii="Georgia" w:hAnsi="Georgia" w:cstheme="minorHAnsi"/>
          <w:sz w:val="24"/>
          <w:szCs w:val="24"/>
        </w:rPr>
        <w:t xml:space="preserve">e</w:t>
      </w:r>
      <w:r>
        <w:rPr>
          <w:rFonts w:ascii="Georgia" w:hAnsi="Georgia" w:cstheme="minorHAnsi"/>
          <w:sz w:val="24"/>
          <w:szCs w:val="24"/>
        </w:rPr>
        <w:t xml:space="preserve"> relações diretas entre o local e o global, assim as funções intermediárias das cidades médias também são alteradas. </w:t>
      </w:r>
      <w:r>
        <w:rPr>
          <w:rFonts w:ascii="Georgia" w:hAnsi="Georgia" w:cstheme="minorHAnsi"/>
          <w:sz w:val="24"/>
          <w:szCs w:val="24"/>
        </w:rPr>
      </w:r>
    </w:p>
    <w:p w14:paraId="7901FA53" w14:textId="3756A8B7">
      <w:pPr>
        <w:pBdr/>
        <w:spacing w:after="120" w:line="360" w:lineRule="auto"/>
        <w:ind w:firstLine="700"/>
        <w:jc w:val="both"/>
        <w:rPr>
          <w:rFonts w:ascii="Georgia" w:hAnsi="Georgia" w:cstheme="minorHAnsi"/>
          <w:sz w:val="24"/>
          <w:szCs w:val="24"/>
        </w:rPr>
      </w:pPr>
      <w:r>
        <w:rPr>
          <w:rFonts w:ascii="Georgia" w:hAnsi="Georgia" w:cstheme="minorHAnsi"/>
          <w:sz w:val="24"/>
          <w:szCs w:val="24"/>
        </w:rPr>
        <w:t xml:space="preserve">Nas cidades médias, como Alfenas, nota-se a presença cada vez maior de serviços de aplicativos, como </w:t>
      </w:r>
      <w:r>
        <w:rPr>
          <w:rFonts w:ascii="Georgia" w:hAnsi="Georgia" w:cstheme="minorHAnsi"/>
          <w:i/>
          <w:iCs/>
          <w:sz w:val="24"/>
          <w:szCs w:val="24"/>
        </w:rPr>
        <w:t xml:space="preserve">delivery</w:t>
      </w:r>
      <w:r>
        <w:rPr>
          <w:rFonts w:ascii="Georgia" w:hAnsi="Georgia" w:cstheme="minorHAnsi"/>
          <w:sz w:val="24"/>
          <w:szCs w:val="24"/>
        </w:rPr>
        <w:t xml:space="preserve"> e de mobilidade, especialmente de empr</w:t>
      </w:r>
      <w:r>
        <w:rPr>
          <w:rFonts w:ascii="Georgia" w:hAnsi="Georgia" w:cstheme="minorHAnsi"/>
          <w:sz w:val="24"/>
          <w:szCs w:val="24"/>
        </w:rPr>
        <w:t xml:space="preserve">esas regionais. Mas também no ensino a distância, o qual as universidades oferecem cursos online, a exemplo do grupo Anhanguera Unopar, alterando as relações de produção, circulação e consumo, pois as redes informacionais se materializam de diversos modos.</w:t>
      </w:r>
      <w:r>
        <w:rPr>
          <w:rFonts w:ascii="Georgia" w:hAnsi="Georgia" w:cstheme="minorHAnsi"/>
          <w:sz w:val="24"/>
          <w:szCs w:val="24"/>
        </w:rPr>
      </w:r>
    </w:p>
    <w:p w14:paraId="5BED2F52" w14:textId="2D3500B5">
      <w:pPr>
        <w:pBdr/>
        <w:spacing w:after="120" w:line="360" w:lineRule="auto"/>
        <w:ind w:firstLine="700"/>
        <w:jc w:val="both"/>
        <w:rPr>
          <w:rFonts w:ascii="Georgia" w:hAnsi="Georgia" w:cstheme="minorHAnsi"/>
          <w:sz w:val="24"/>
          <w:szCs w:val="24"/>
        </w:rPr>
      </w:pPr>
      <w:r>
        <w:rPr>
          <w:rFonts w:ascii="Georgia" w:hAnsi="Georgia" w:cstheme="minorHAnsi"/>
          <w:sz w:val="24"/>
          <w:szCs w:val="24"/>
        </w:rPr>
        <w:t xml:space="preserve">No que diz respeito à escala superior da rede urbana no Sul de Minas Gerais, destaca-se a capital regional Varginha, com uma população de 136.467 habitantes, cidade polo da Região Intermediária, polariza 82 municípios sul-mineiros</w:t>
      </w:r>
      <w:r>
        <w:rPr>
          <w:rFonts w:ascii="Georgia" w:hAnsi="Georgia" w:cstheme="minorHAnsi"/>
          <w:sz w:val="24"/>
          <w:szCs w:val="24"/>
        </w:rPr>
        <w:t xml:space="preserve"> (IBGE, 2024)</w:t>
      </w:r>
      <w:r>
        <w:rPr>
          <w:rFonts w:ascii="Georgia" w:hAnsi="Georgia" w:cstheme="minorHAnsi"/>
          <w:sz w:val="24"/>
          <w:szCs w:val="24"/>
        </w:rPr>
        <w:t xml:space="preserve">, em função da oferta de bens e serviços de maior complexidade, como </w:t>
      </w:r>
      <w:r>
        <w:rPr>
          <w:rFonts w:ascii="Georgia" w:hAnsi="Georgia" w:cstheme="minorHAnsi"/>
          <w:sz w:val="24"/>
          <w:szCs w:val="24"/>
        </w:rPr>
        <w:t xml:space="preserve">shopping center, universidades, redes de comunicação, de logística, especialmente, o porto seco, e dos serviços regionais, como o Hospital Regional, as Superintendências Regionais de Ensino e de Saúde, e o aeroporto com voos regulares para Belo Horizonte. </w:t>
      </w:r>
      <w:r>
        <w:rPr>
          <w:rFonts w:ascii="Georgia" w:hAnsi="Georgia" w:cstheme="minorHAnsi"/>
          <w:sz w:val="24"/>
          <w:szCs w:val="24"/>
        </w:rPr>
      </w:r>
    </w:p>
    <w:p w14:paraId="0C25A4F8" w14:textId="77777777">
      <w:pPr>
        <w:pBdr/>
        <w:spacing w:after="120" w:line="360" w:lineRule="auto"/>
        <w:ind/>
        <w:jc w:val="both"/>
        <w:rPr>
          <w:rFonts w:ascii="Georgia" w:hAnsi="Georgia" w:cstheme="minorHAnsi"/>
          <w:b/>
          <w:sz w:val="24"/>
          <w:szCs w:val="24"/>
        </w:rPr>
      </w:pPr>
      <w:r>
        <w:rPr>
          <w:rFonts w:ascii="Georgia" w:hAnsi="Georgia" w:cstheme="minorHAnsi"/>
          <w:b/>
          <w:sz w:val="24"/>
          <w:szCs w:val="24"/>
        </w:rPr>
        <w:t xml:space="preserve">Os serviços de saúde e de ensino superior</w:t>
      </w:r>
      <w:r>
        <w:rPr>
          <w:rFonts w:ascii="Georgia" w:hAnsi="Georgia" w:cstheme="minorHAnsi"/>
          <w:b/>
          <w:sz w:val="24"/>
          <w:szCs w:val="24"/>
        </w:rPr>
      </w:r>
    </w:p>
    <w:p w14:paraId="12FF0ECF" w14:textId="1CBF008E">
      <w:pPr>
        <w:pBdr/>
        <w:spacing w:after="120" w:line="360" w:lineRule="auto"/>
        <w:ind/>
        <w:jc w:val="both"/>
        <w:rPr>
          <w:rFonts w:ascii="Georgia" w:hAnsi="Georgia" w:cstheme="minorHAnsi"/>
          <w:sz w:val="20"/>
          <w:szCs w:val="20"/>
        </w:rPr>
      </w:pPr>
      <w:r>
        <w:rPr>
          <w:rFonts w:ascii="Georgia" w:hAnsi="Georgia" w:cstheme="minorHAnsi"/>
          <w:sz w:val="24"/>
          <w:szCs w:val="24"/>
        </w:rPr>
        <w:t xml:space="preserve">        </w:t>
      </w:r>
      <w:r>
        <w:rPr>
          <w:rFonts w:ascii="Georgia" w:hAnsi="Georgia" w:cstheme="minorHAnsi"/>
          <w:sz w:val="24"/>
          <w:szCs w:val="24"/>
        </w:rPr>
        <w:tab/>
        <w:t xml:space="preserve">De acordo com o levantamento do IBGE (2017), sobre a </w:t>
      </w:r>
      <w:r>
        <w:rPr>
          <w:rFonts w:ascii="Georgia" w:hAnsi="Georgia" w:cstheme="minorHAnsi"/>
          <w:bCs/>
          <w:sz w:val="24"/>
          <w:szCs w:val="24"/>
        </w:rPr>
        <w:t xml:space="preserve">divisão regional do Brasil em regiões geográficas imediatas e regiões geográficas intermediárias, as primeiras apresentam como características principais o alcance mais próximo de bens e serviços disponíveis </w:t>
      </w:r>
      <w:r>
        <w:rPr>
          <w:rFonts w:ascii="Georgia" w:hAnsi="Georgia" w:cstheme="minorHAnsi"/>
          <w:sz w:val="24"/>
          <w:szCs w:val="24"/>
        </w:rPr>
        <w:t xml:space="preserve">para a satisfação das necessidades imediatas das populações</w:t>
      </w:r>
      <w:r>
        <w:rPr>
          <w:rFonts w:ascii="Georgia" w:hAnsi="Georgia" w:cstheme="minorHAnsi"/>
          <w:bCs/>
          <w:sz w:val="24"/>
          <w:szCs w:val="24"/>
        </w:rPr>
        <w:t xml:space="preserve">. </w:t>
      </w:r>
      <w:r>
        <w:rPr>
          <w:rFonts w:ascii="Georgia" w:hAnsi="Georgia" w:cstheme="minorHAnsi"/>
          <w:sz w:val="24"/>
          <w:szCs w:val="24"/>
        </w:rPr>
        <w:t xml:space="preserve">Enquanto as Regiões Geográficas Intermediárias apresentam entre outras características uma maior complexidade e alcance das funções urbanas públicas e privadas</w:t>
      </w:r>
      <w:r>
        <w:rPr>
          <w:rFonts w:ascii="Georgia" w:hAnsi="Georgia" w:cstheme="minorHAnsi"/>
          <w:sz w:val="24"/>
          <w:szCs w:val="24"/>
        </w:rPr>
        <w:t xml:space="preserve"> </w:t>
      </w:r>
      <w:r>
        <w:rPr>
          <w:rFonts w:ascii="Georgia" w:hAnsi="Georgia" w:cstheme="minorHAnsi"/>
          <w:sz w:val="24"/>
          <w:szCs w:val="24"/>
        </w:rPr>
        <w:t xml:space="preserve">(IBGE, 2017).</w:t>
      </w:r>
      <w:r>
        <w:rPr>
          <w:rFonts w:ascii="Georgia" w:hAnsi="Georgia" w:cstheme="minorHAnsi"/>
          <w:sz w:val="20"/>
          <w:szCs w:val="20"/>
        </w:rPr>
      </w:r>
    </w:p>
    <w:p w14:paraId="23C4F3EE" w14:textId="042E3112">
      <w:pPr>
        <w:pBdr/>
        <w:spacing w:after="120" w:line="360" w:lineRule="auto"/>
        <w:ind/>
        <w:jc w:val="both"/>
        <w:rPr>
          <w:rFonts w:ascii="Georgia" w:hAnsi="Georgia" w:cstheme="minorHAnsi"/>
          <w:sz w:val="24"/>
          <w:szCs w:val="24"/>
        </w:rPr>
      </w:pPr>
      <w:r>
        <w:rPr>
          <w:rFonts w:ascii="Georgia" w:hAnsi="Georgia" w:cstheme="minorHAnsi"/>
          <w:b/>
          <w:sz w:val="24"/>
          <w:szCs w:val="24"/>
        </w:rPr>
        <w:t xml:space="preserve"> </w:t>
      </w:r>
      <w:r>
        <w:rPr>
          <w:rFonts w:ascii="Georgia" w:hAnsi="Georgia" w:cstheme="minorHAnsi"/>
          <w:b/>
          <w:sz w:val="24"/>
          <w:szCs w:val="24"/>
        </w:rPr>
        <w:tab/>
      </w:r>
      <w:r>
        <w:rPr>
          <w:rFonts w:ascii="Georgia" w:hAnsi="Georgia" w:cstheme="minorHAnsi"/>
          <w:sz w:val="24"/>
          <w:szCs w:val="24"/>
        </w:rPr>
        <w:t xml:space="preserve">A especialização de Alfenas, notadamente em serviços de saúde e ensino superior, constitui um fator primordial de articulação da região imediata, de complementaridade e concorrência na divisão territorial do trabalho entre os centros da rede urbana.</w:t>
      </w:r>
      <w:r>
        <w:rPr>
          <w:rFonts w:ascii="Georgia" w:hAnsi="Georgia" w:cstheme="minorHAnsi"/>
          <w:sz w:val="24"/>
          <w:szCs w:val="24"/>
        </w:rPr>
        <w:t xml:space="preserve"> </w:t>
      </w:r>
      <w:r>
        <w:rPr>
          <w:rFonts w:ascii="Georgia" w:hAnsi="Georgia" w:cstheme="minorHAnsi"/>
          <w:sz w:val="24"/>
          <w:szCs w:val="24"/>
        </w:rPr>
        <w:t xml:space="preserve">Com relação à rede de serviços da saúde, a cidade conta com três hospitais e diversas clínicas, oferecendo tratamentos médicos especializados, que direcionam os fluxos diários de pacientes dos municípios vizinhos para a cidade.</w:t>
      </w:r>
      <w:r>
        <w:rPr>
          <w:rFonts w:ascii="Georgia" w:hAnsi="Georgia" w:cstheme="minorHAnsi"/>
          <w:sz w:val="24"/>
          <w:szCs w:val="24"/>
        </w:rPr>
      </w:r>
    </w:p>
    <w:p w14:paraId="55CEC827" w14:textId="77777777">
      <w:pPr>
        <w:pBdr/>
        <w:spacing w:after="120" w:line="360" w:lineRule="auto"/>
        <w:ind w:firstLine="700"/>
        <w:jc w:val="both"/>
        <w:rPr>
          <w:rFonts w:ascii="Georgia" w:hAnsi="Georgia" w:cstheme="minorHAnsi"/>
          <w:sz w:val="24"/>
          <w:szCs w:val="24"/>
        </w:rPr>
      </w:pPr>
      <w:r>
        <w:rPr>
          <w:rFonts w:ascii="Georgia" w:hAnsi="Georgia" w:cstheme="minorHAnsi"/>
          <w:sz w:val="24"/>
          <w:szCs w:val="24"/>
        </w:rPr>
        <w:t xml:space="preserve">As duas universidades, que dispõem de cursos de medicina, enfermagem e fisioterapia, também oferecem serviços de saúde à população, através de</w:t>
      </w:r>
      <w:r>
        <w:rPr>
          <w:rFonts w:ascii="Georgia" w:hAnsi="Georgia" w:cstheme="minorHAnsi"/>
          <w:sz w:val="24"/>
          <w:szCs w:val="24"/>
        </w:rPr>
        <w:t xml:space="preserve"> seus programas de extensão, assim como formam profissionais que compõem o quadro ocupacional das unidades da rede de saúde. Esta articulação das áreas de saúde e ensino superior, na prática configuram um complexo médico-hospitalar-universitário na cidade.</w:t>
      </w:r>
      <w:r>
        <w:rPr>
          <w:rFonts w:ascii="Georgia" w:hAnsi="Georgia" w:cstheme="minorHAnsi"/>
          <w:sz w:val="24"/>
          <w:szCs w:val="24"/>
        </w:rPr>
      </w:r>
    </w:p>
    <w:p w14:paraId="792FA5EB" w14:textId="77777777">
      <w:pPr>
        <w:pBdr/>
        <w:spacing w:after="120" w:line="360" w:lineRule="auto"/>
        <w:ind w:firstLine="700"/>
        <w:jc w:val="both"/>
        <w:rPr>
          <w:rFonts w:ascii="Georgia" w:hAnsi="Georgia" w:cstheme="minorHAnsi"/>
          <w:sz w:val="24"/>
          <w:szCs w:val="24"/>
        </w:rPr>
      </w:pPr>
      <w:r>
        <w:rPr>
          <w:rFonts w:ascii="Georgia" w:hAnsi="Georgia" w:cstheme="minorHAnsi"/>
          <w:sz w:val="24"/>
          <w:szCs w:val="24"/>
        </w:rPr>
        <w:t xml:space="preserve">O número de empresas em saúde humana e serviços sociais em Alfenas, entre 2006 e 2021, triplicou, passando de 105 a 328 estabelecimentos (SIDRA, 2024). Atualmente, no nível municipal, Alfenas dispõe de quatro hospitais de </w:t>
      </w:r>
      <w:r>
        <w:rPr>
          <w:rFonts w:ascii="Georgia" w:hAnsi="Georgia" w:cstheme="minorHAnsi"/>
          <w:sz w:val="24"/>
          <w:szCs w:val="24"/>
        </w:rPr>
        <w:t xml:space="preserve">média complexidade e cinco hospitais de alta complexidade, além de ambulatórios (MINISTÉRIO DA SAÚDE, 2024), conforme a Tabela 1. </w:t>
      </w:r>
      <w:r>
        <w:rPr>
          <w:rFonts w:ascii="Georgia" w:hAnsi="Georgia" w:cstheme="minorHAnsi"/>
          <w:sz w:val="24"/>
          <w:szCs w:val="24"/>
        </w:rPr>
      </w:r>
    </w:p>
    <w:p w14:paraId="0180BE4B" w14:textId="1491C448">
      <w:pPr>
        <w:pBdr/>
        <w:spacing w:after="120" w:line="240" w:lineRule="auto"/>
        <w:ind/>
        <w:jc w:val="center"/>
        <w:rPr>
          <w:rFonts w:ascii="Georgia" w:hAnsi="Georgia" w:cstheme="minorHAnsi"/>
          <w:b/>
          <w:sz w:val="24"/>
          <w:szCs w:val="24"/>
        </w:rPr>
      </w:pPr>
      <w:r>
        <w:rPr>
          <w:rFonts w:ascii="Georgia" w:hAnsi="Georgia" w:cstheme="minorHAnsi"/>
          <w:b/>
          <w:sz w:val="24"/>
          <w:szCs w:val="24"/>
        </w:rPr>
        <w:t xml:space="preserve">Tabela 1 </w:t>
      </w:r>
      <w:r>
        <w:rPr>
          <w:rFonts w:ascii="Georgia" w:hAnsi="Georgia" w:cstheme="minorHAnsi"/>
          <w:bCs/>
          <w:sz w:val="24"/>
          <w:szCs w:val="24"/>
        </w:rPr>
        <w:t xml:space="preserve">– Estabelecimentos por nível de atenção (alta complexidade) RGI Alfenas, 2024</w:t>
      </w:r>
      <w:r>
        <w:rPr>
          <w:rFonts w:ascii="Georgia" w:hAnsi="Georgia" w:cstheme="minorHAnsi"/>
          <w:b/>
          <w:sz w:val="24"/>
          <w:szCs w:val="24"/>
        </w:rPr>
      </w:r>
    </w:p>
    <w:tbl>
      <w:tblPr>
        <w:tblStyle w:val="852"/>
        <w:tblW w:w="0" w:type="auto"/>
        <w:tblBorders/>
        <w:tblLayout w:type="fixed"/>
        <w:tblpPr w:horzAnchor="margin" w:tblpXSpec="left" w:vertAnchor="text" w:tblpY="127" w:leftFromText="141" w:topFromText="0" w:rightFromText="141" w:bottomFromText="0"/>
        <w:tblLook w:val="04A0" w:firstRow="1" w:lastRow="0" w:firstColumn="1" w:lastColumn="0" w:noHBand="0" w:noVBand="1"/>
      </w:tblPr>
      <w:tblGrid>
        <w:gridCol w:w="1555"/>
        <w:gridCol w:w="1417"/>
        <w:gridCol w:w="1604"/>
        <w:gridCol w:w="1596"/>
        <w:gridCol w:w="1478"/>
        <w:gridCol w:w="844"/>
      </w:tblGrid>
      <w:tr>
        <w:trPr/>
        <w:tc>
          <w:tcPr>
            <w:tcBorders/>
            <w:tcW w:w="1555" w:type="dxa"/>
          </w:tcPr>
          <w:p w14:paraId="35232A42" w14:textId="77777777">
            <w:pPr>
              <w:pBdr/>
              <w:spacing/>
              <w:ind/>
              <w:rPr>
                <w:rFonts w:ascii="Georgia" w:hAnsi="Georgia" w:cstheme="minorHAnsi"/>
                <w:b/>
                <w:bCs/>
                <w:sz w:val="20"/>
                <w:szCs w:val="20"/>
              </w:rPr>
            </w:pPr>
            <w:r>
              <w:rPr>
                <w:rFonts w:ascii="Georgia" w:hAnsi="Georgia" w:cstheme="minorHAnsi"/>
                <w:b/>
                <w:bCs/>
                <w:sz w:val="20"/>
                <w:szCs w:val="20"/>
              </w:rPr>
              <w:t xml:space="preserve">Municípios </w:t>
            </w:r>
            <w:r>
              <w:rPr>
                <w:rFonts w:ascii="Georgia" w:hAnsi="Georgia" w:cstheme="minorHAnsi"/>
                <w:b/>
                <w:bCs/>
                <w:sz w:val="20"/>
                <w:szCs w:val="20"/>
              </w:rPr>
            </w:r>
          </w:p>
        </w:tc>
        <w:tc>
          <w:tcPr>
            <w:tcBorders/>
            <w:tcW w:w="1417" w:type="dxa"/>
          </w:tcPr>
          <w:p w14:paraId="2118F1CE" w14:textId="77777777">
            <w:pPr>
              <w:pBdr/>
              <w:spacing/>
              <w:ind/>
              <w:rPr>
                <w:rFonts w:ascii="Georgia" w:hAnsi="Georgia" w:cstheme="minorHAnsi"/>
                <w:b/>
                <w:bCs/>
                <w:sz w:val="20"/>
                <w:szCs w:val="20"/>
              </w:rPr>
            </w:pPr>
            <w:r>
              <w:rPr>
                <w:rFonts w:ascii="Georgia" w:hAnsi="Georgia" w:cstheme="minorHAnsi"/>
                <w:b/>
                <w:bCs/>
                <w:sz w:val="20"/>
                <w:szCs w:val="20"/>
              </w:rPr>
              <w:t xml:space="preserve">Ambulatorial alta complexidade estadual</w:t>
            </w:r>
            <w:r>
              <w:rPr>
                <w:rFonts w:ascii="Georgia" w:hAnsi="Georgia" w:cstheme="minorHAnsi"/>
                <w:b/>
                <w:bCs/>
                <w:sz w:val="20"/>
                <w:szCs w:val="20"/>
              </w:rPr>
            </w:r>
          </w:p>
        </w:tc>
        <w:tc>
          <w:tcPr>
            <w:tcBorders/>
            <w:tcW w:w="1604" w:type="dxa"/>
          </w:tcPr>
          <w:p w14:paraId="55013EC8" w14:textId="77777777">
            <w:pPr>
              <w:pBdr/>
              <w:spacing/>
              <w:ind/>
              <w:rPr>
                <w:rFonts w:ascii="Georgia" w:hAnsi="Georgia" w:cstheme="minorHAnsi"/>
                <w:b/>
                <w:bCs/>
                <w:sz w:val="20"/>
                <w:szCs w:val="20"/>
              </w:rPr>
            </w:pPr>
            <w:r>
              <w:rPr>
                <w:rFonts w:ascii="Georgia" w:hAnsi="Georgia" w:cstheme="minorHAnsi"/>
                <w:b/>
                <w:bCs/>
                <w:sz w:val="20"/>
                <w:szCs w:val="20"/>
              </w:rPr>
              <w:t xml:space="preserve">Ambulatorial alta complexidade municipal</w:t>
            </w:r>
            <w:r>
              <w:rPr>
                <w:rFonts w:ascii="Georgia" w:hAnsi="Georgia" w:cstheme="minorHAnsi"/>
                <w:b/>
                <w:bCs/>
                <w:sz w:val="20"/>
                <w:szCs w:val="20"/>
              </w:rPr>
            </w:r>
          </w:p>
        </w:tc>
        <w:tc>
          <w:tcPr>
            <w:tcBorders/>
            <w:tcW w:w="1596" w:type="dxa"/>
          </w:tcPr>
          <w:p w14:paraId="2BD25B6B" w14:textId="77777777">
            <w:pPr>
              <w:pBdr/>
              <w:spacing/>
              <w:ind/>
              <w:rPr>
                <w:rFonts w:ascii="Georgia" w:hAnsi="Georgia" w:cstheme="minorHAnsi"/>
                <w:b/>
                <w:bCs/>
                <w:sz w:val="20"/>
                <w:szCs w:val="20"/>
              </w:rPr>
            </w:pPr>
            <w:r>
              <w:rPr>
                <w:rFonts w:ascii="Georgia" w:hAnsi="Georgia" w:cstheme="minorHAnsi"/>
                <w:b/>
                <w:bCs/>
                <w:sz w:val="20"/>
                <w:szCs w:val="20"/>
              </w:rPr>
              <w:t xml:space="preserve">Hospitalar alta complexidade estadual</w:t>
            </w:r>
            <w:r>
              <w:rPr>
                <w:rFonts w:ascii="Georgia" w:hAnsi="Georgia" w:cstheme="minorHAnsi"/>
                <w:b/>
                <w:bCs/>
                <w:sz w:val="20"/>
                <w:szCs w:val="20"/>
              </w:rPr>
            </w:r>
          </w:p>
        </w:tc>
        <w:tc>
          <w:tcPr>
            <w:tcBorders/>
            <w:tcW w:w="1478" w:type="dxa"/>
          </w:tcPr>
          <w:p w14:paraId="4009ECC4" w14:textId="77777777">
            <w:pPr>
              <w:pBdr/>
              <w:spacing/>
              <w:ind/>
              <w:rPr>
                <w:rFonts w:ascii="Georgia" w:hAnsi="Georgia" w:cstheme="minorHAnsi"/>
                <w:b/>
                <w:bCs/>
                <w:sz w:val="20"/>
                <w:szCs w:val="20"/>
              </w:rPr>
            </w:pPr>
            <w:r>
              <w:rPr>
                <w:rFonts w:ascii="Georgia" w:hAnsi="Georgia" w:cstheme="minorHAnsi"/>
                <w:b/>
                <w:bCs/>
                <w:sz w:val="20"/>
                <w:szCs w:val="20"/>
              </w:rPr>
              <w:t xml:space="preserve">Hospitalar alta complexidade municipal</w:t>
            </w:r>
            <w:r>
              <w:rPr>
                <w:rFonts w:ascii="Georgia" w:hAnsi="Georgia" w:cstheme="minorHAnsi"/>
                <w:b/>
                <w:bCs/>
                <w:sz w:val="20"/>
                <w:szCs w:val="20"/>
              </w:rPr>
            </w:r>
          </w:p>
        </w:tc>
        <w:tc>
          <w:tcPr>
            <w:tcBorders/>
            <w:tcW w:w="844" w:type="dxa"/>
          </w:tcPr>
          <w:p w14:paraId="57CCED53" w14:textId="77777777">
            <w:pPr>
              <w:pBdr/>
              <w:spacing/>
              <w:ind/>
              <w:rPr>
                <w:rFonts w:ascii="Georgia" w:hAnsi="Georgia" w:cstheme="minorHAnsi"/>
                <w:b/>
                <w:bCs/>
                <w:sz w:val="20"/>
                <w:szCs w:val="20"/>
              </w:rPr>
            </w:pPr>
            <w:r>
              <w:rPr>
                <w:rFonts w:ascii="Georgia" w:hAnsi="Georgia" w:cstheme="minorHAnsi"/>
                <w:b/>
                <w:bCs/>
                <w:sz w:val="20"/>
                <w:szCs w:val="20"/>
              </w:rPr>
              <w:t xml:space="preserve">Total</w:t>
            </w:r>
            <w:r>
              <w:rPr>
                <w:rFonts w:ascii="Georgia" w:hAnsi="Georgia" w:cstheme="minorHAnsi"/>
                <w:b/>
                <w:bCs/>
                <w:sz w:val="20"/>
                <w:szCs w:val="20"/>
              </w:rPr>
            </w:r>
          </w:p>
        </w:tc>
      </w:tr>
      <w:tr>
        <w:trPr/>
        <w:tc>
          <w:tcPr>
            <w:tcBorders/>
            <w:tcW w:w="1555" w:type="dxa"/>
          </w:tcPr>
          <w:p w14:paraId="428A76C6" w14:textId="77777777">
            <w:pPr>
              <w:pBdr/>
              <w:spacing/>
              <w:ind/>
              <w:rPr>
                <w:rFonts w:ascii="Georgia" w:hAnsi="Georgia" w:cstheme="minorHAnsi"/>
                <w:sz w:val="20"/>
                <w:szCs w:val="20"/>
              </w:rPr>
            </w:pPr>
            <w:r>
              <w:rPr>
                <w:rFonts w:ascii="Georgia" w:hAnsi="Georgia" w:cstheme="minorHAnsi"/>
                <w:sz w:val="20"/>
                <w:szCs w:val="20"/>
              </w:rPr>
              <w:t xml:space="preserve">Alfenas</w:t>
            </w:r>
            <w:r>
              <w:rPr>
                <w:rFonts w:ascii="Georgia" w:hAnsi="Georgia" w:cstheme="minorHAnsi"/>
                <w:sz w:val="20"/>
                <w:szCs w:val="20"/>
              </w:rPr>
            </w:r>
          </w:p>
        </w:tc>
        <w:tc>
          <w:tcPr>
            <w:tcBorders/>
            <w:tcW w:w="1417" w:type="dxa"/>
          </w:tcPr>
          <w:p w14:paraId="54FB5814" w14:textId="77777777">
            <w:pPr>
              <w:pBdr/>
              <w:spacing/>
              <w:ind/>
              <w:jc w:val="center"/>
              <w:rPr>
                <w:rFonts w:ascii="Georgia" w:hAnsi="Georgia" w:cstheme="minorHAnsi"/>
                <w:sz w:val="20"/>
                <w:szCs w:val="20"/>
              </w:rPr>
            </w:pPr>
            <w:r>
              <w:rPr>
                <w:rFonts w:ascii="Georgia" w:hAnsi="Georgia" w:cstheme="minorHAnsi"/>
                <w:sz w:val="20"/>
                <w:szCs w:val="20"/>
              </w:rPr>
              <w:t xml:space="preserve">1</w:t>
            </w:r>
            <w:r>
              <w:rPr>
                <w:rFonts w:ascii="Georgia" w:hAnsi="Georgia" w:cstheme="minorHAnsi"/>
                <w:sz w:val="20"/>
                <w:szCs w:val="20"/>
              </w:rPr>
            </w:r>
          </w:p>
        </w:tc>
        <w:tc>
          <w:tcPr>
            <w:tcBorders/>
            <w:tcW w:w="1604" w:type="dxa"/>
          </w:tcPr>
          <w:p w14:paraId="496EE26A" w14:textId="77777777">
            <w:pPr>
              <w:pBdr/>
              <w:spacing/>
              <w:ind/>
              <w:jc w:val="center"/>
              <w:rPr>
                <w:rFonts w:ascii="Georgia" w:hAnsi="Georgia" w:cstheme="minorHAnsi"/>
                <w:sz w:val="20"/>
                <w:szCs w:val="20"/>
              </w:rPr>
            </w:pPr>
            <w:r>
              <w:rPr>
                <w:rFonts w:ascii="Georgia" w:hAnsi="Georgia" w:cstheme="minorHAnsi"/>
                <w:sz w:val="20"/>
                <w:szCs w:val="20"/>
              </w:rPr>
              <w:t xml:space="preserve">9</w:t>
            </w:r>
            <w:r>
              <w:rPr>
                <w:rFonts w:ascii="Georgia" w:hAnsi="Georgia" w:cstheme="minorHAnsi"/>
                <w:sz w:val="20"/>
                <w:szCs w:val="20"/>
              </w:rPr>
            </w:r>
          </w:p>
        </w:tc>
        <w:tc>
          <w:tcPr>
            <w:tcBorders/>
            <w:tcW w:w="1596" w:type="dxa"/>
          </w:tcPr>
          <w:p w14:paraId="3DF0CC9B" w14:textId="77777777">
            <w:pPr>
              <w:pBdr/>
              <w:spacing/>
              <w:ind/>
              <w:jc w:val="center"/>
              <w:rPr>
                <w:rFonts w:ascii="Georgia" w:hAnsi="Georgia" w:cstheme="minorHAnsi"/>
                <w:sz w:val="20"/>
                <w:szCs w:val="20"/>
              </w:rPr>
            </w:pPr>
            <w:r>
              <w:rPr>
                <w:rFonts w:ascii="Georgia" w:hAnsi="Georgia" w:cstheme="minorHAnsi"/>
                <w:sz w:val="20"/>
                <w:szCs w:val="20"/>
              </w:rPr>
              <w:t xml:space="preserve">0</w:t>
            </w:r>
            <w:r>
              <w:rPr>
                <w:rFonts w:ascii="Georgia" w:hAnsi="Georgia" w:cstheme="minorHAnsi"/>
                <w:sz w:val="20"/>
                <w:szCs w:val="20"/>
              </w:rPr>
            </w:r>
          </w:p>
        </w:tc>
        <w:tc>
          <w:tcPr>
            <w:tcBorders/>
            <w:tcW w:w="1478" w:type="dxa"/>
          </w:tcPr>
          <w:p w14:paraId="59E636D1" w14:textId="77777777">
            <w:pPr>
              <w:pBdr/>
              <w:spacing/>
              <w:ind/>
              <w:jc w:val="center"/>
              <w:rPr>
                <w:rFonts w:ascii="Georgia" w:hAnsi="Georgia" w:cstheme="minorHAnsi"/>
                <w:sz w:val="20"/>
                <w:szCs w:val="20"/>
              </w:rPr>
            </w:pPr>
            <w:r>
              <w:rPr>
                <w:rFonts w:ascii="Georgia" w:hAnsi="Georgia" w:cstheme="minorHAnsi"/>
                <w:sz w:val="20"/>
                <w:szCs w:val="20"/>
              </w:rPr>
              <w:t xml:space="preserve">5</w:t>
            </w:r>
            <w:r>
              <w:rPr>
                <w:rFonts w:ascii="Georgia" w:hAnsi="Georgia" w:cstheme="minorHAnsi"/>
                <w:sz w:val="20"/>
                <w:szCs w:val="20"/>
              </w:rPr>
            </w:r>
          </w:p>
        </w:tc>
        <w:tc>
          <w:tcPr>
            <w:tcBorders/>
            <w:tcW w:w="844" w:type="dxa"/>
          </w:tcPr>
          <w:p w14:paraId="6FD1C7F7" w14:textId="77777777">
            <w:pPr>
              <w:pBdr/>
              <w:spacing/>
              <w:ind/>
              <w:jc w:val="center"/>
              <w:rPr>
                <w:rFonts w:ascii="Georgia" w:hAnsi="Georgia" w:cstheme="minorHAnsi"/>
                <w:sz w:val="20"/>
                <w:szCs w:val="20"/>
              </w:rPr>
            </w:pPr>
            <w:r>
              <w:rPr>
                <w:rFonts w:ascii="Georgia" w:hAnsi="Georgia" w:cstheme="minorHAnsi"/>
                <w:sz w:val="20"/>
                <w:szCs w:val="20"/>
              </w:rPr>
              <w:t xml:space="preserve">15</w:t>
            </w:r>
            <w:r>
              <w:rPr>
                <w:rFonts w:ascii="Georgia" w:hAnsi="Georgia" w:cstheme="minorHAnsi"/>
                <w:sz w:val="20"/>
                <w:szCs w:val="20"/>
              </w:rPr>
            </w:r>
          </w:p>
        </w:tc>
      </w:tr>
      <w:tr>
        <w:trPr/>
        <w:tc>
          <w:tcPr>
            <w:tcBorders/>
            <w:tcW w:w="1555" w:type="dxa"/>
          </w:tcPr>
          <w:p w14:paraId="0A23BE8B" w14:textId="77777777">
            <w:pPr>
              <w:pBdr/>
              <w:spacing/>
              <w:ind/>
              <w:rPr>
                <w:rFonts w:ascii="Georgia" w:hAnsi="Georgia" w:cstheme="minorHAnsi"/>
                <w:sz w:val="20"/>
                <w:szCs w:val="20"/>
              </w:rPr>
            </w:pPr>
            <w:r>
              <w:rPr>
                <w:rFonts w:ascii="Georgia" w:hAnsi="Georgia" w:cstheme="minorHAnsi"/>
                <w:sz w:val="20"/>
                <w:szCs w:val="20"/>
              </w:rPr>
              <w:t xml:space="preserve">Alterosa</w:t>
            </w:r>
            <w:r>
              <w:rPr>
                <w:rFonts w:ascii="Georgia" w:hAnsi="Georgia" w:cstheme="minorHAnsi"/>
                <w:sz w:val="20"/>
                <w:szCs w:val="20"/>
              </w:rPr>
            </w:r>
          </w:p>
        </w:tc>
        <w:tc>
          <w:tcPr>
            <w:tcBorders/>
            <w:tcW w:w="1417" w:type="dxa"/>
          </w:tcPr>
          <w:p w14:paraId="1851874E" w14:textId="77777777">
            <w:pPr>
              <w:pBdr/>
              <w:spacing/>
              <w:ind/>
              <w:jc w:val="center"/>
              <w:rPr>
                <w:rFonts w:ascii="Georgia" w:hAnsi="Georgia" w:cstheme="minorHAnsi"/>
                <w:sz w:val="20"/>
                <w:szCs w:val="20"/>
              </w:rPr>
            </w:pPr>
            <w:r>
              <w:rPr>
                <w:rFonts w:ascii="Georgia" w:hAnsi="Georgia" w:cstheme="minorHAnsi"/>
                <w:sz w:val="20"/>
                <w:szCs w:val="20"/>
              </w:rPr>
              <w:t xml:space="preserve">0</w:t>
            </w:r>
            <w:r>
              <w:rPr>
                <w:rFonts w:ascii="Georgia" w:hAnsi="Georgia" w:cstheme="minorHAnsi"/>
                <w:sz w:val="20"/>
                <w:szCs w:val="20"/>
              </w:rPr>
            </w:r>
          </w:p>
        </w:tc>
        <w:tc>
          <w:tcPr>
            <w:tcBorders/>
            <w:tcW w:w="1604" w:type="dxa"/>
          </w:tcPr>
          <w:p w14:paraId="0AC086A4" w14:textId="77777777">
            <w:pPr>
              <w:pBdr/>
              <w:spacing/>
              <w:ind/>
              <w:jc w:val="center"/>
              <w:rPr>
                <w:rFonts w:ascii="Georgia" w:hAnsi="Georgia" w:cstheme="minorHAnsi"/>
                <w:sz w:val="20"/>
                <w:szCs w:val="20"/>
              </w:rPr>
            </w:pPr>
            <w:r>
              <w:rPr>
                <w:rFonts w:ascii="Georgia" w:hAnsi="Georgia" w:cstheme="minorHAnsi"/>
                <w:sz w:val="20"/>
                <w:szCs w:val="20"/>
              </w:rPr>
              <w:t xml:space="preserve">0</w:t>
            </w:r>
            <w:r>
              <w:rPr>
                <w:rFonts w:ascii="Georgia" w:hAnsi="Georgia" w:cstheme="minorHAnsi"/>
                <w:sz w:val="20"/>
                <w:szCs w:val="20"/>
              </w:rPr>
            </w:r>
          </w:p>
        </w:tc>
        <w:tc>
          <w:tcPr>
            <w:tcBorders/>
            <w:tcW w:w="1596" w:type="dxa"/>
          </w:tcPr>
          <w:p w14:paraId="16FA0A1D" w14:textId="77777777">
            <w:pPr>
              <w:pBdr/>
              <w:spacing/>
              <w:ind/>
              <w:jc w:val="center"/>
              <w:rPr>
                <w:rFonts w:ascii="Georgia" w:hAnsi="Georgia" w:cstheme="minorHAnsi"/>
                <w:sz w:val="20"/>
                <w:szCs w:val="20"/>
              </w:rPr>
            </w:pPr>
            <w:r>
              <w:rPr>
                <w:rFonts w:ascii="Georgia" w:hAnsi="Georgia" w:cstheme="minorHAnsi"/>
                <w:sz w:val="20"/>
                <w:szCs w:val="20"/>
              </w:rPr>
              <w:t xml:space="preserve">0</w:t>
            </w:r>
            <w:r>
              <w:rPr>
                <w:rFonts w:ascii="Georgia" w:hAnsi="Georgia" w:cstheme="minorHAnsi"/>
                <w:sz w:val="20"/>
                <w:szCs w:val="20"/>
              </w:rPr>
            </w:r>
          </w:p>
        </w:tc>
        <w:tc>
          <w:tcPr>
            <w:tcBorders/>
            <w:tcW w:w="1478" w:type="dxa"/>
          </w:tcPr>
          <w:p w14:paraId="1162A76C" w14:textId="77777777">
            <w:pPr>
              <w:pBdr/>
              <w:spacing/>
              <w:ind/>
              <w:jc w:val="center"/>
              <w:rPr>
                <w:rFonts w:ascii="Georgia" w:hAnsi="Georgia" w:cstheme="minorHAnsi"/>
                <w:sz w:val="20"/>
                <w:szCs w:val="20"/>
              </w:rPr>
            </w:pPr>
            <w:r>
              <w:rPr>
                <w:rFonts w:ascii="Georgia" w:hAnsi="Georgia" w:cstheme="minorHAnsi"/>
                <w:sz w:val="20"/>
                <w:szCs w:val="20"/>
              </w:rPr>
              <w:t xml:space="preserve">0</w:t>
            </w:r>
            <w:r>
              <w:rPr>
                <w:rFonts w:ascii="Georgia" w:hAnsi="Georgia" w:cstheme="minorHAnsi"/>
                <w:sz w:val="20"/>
                <w:szCs w:val="20"/>
              </w:rPr>
            </w:r>
          </w:p>
        </w:tc>
        <w:tc>
          <w:tcPr>
            <w:tcBorders/>
            <w:tcW w:w="844" w:type="dxa"/>
          </w:tcPr>
          <w:p w14:paraId="10BD8625" w14:textId="77777777">
            <w:pPr>
              <w:pBdr/>
              <w:spacing/>
              <w:ind/>
              <w:jc w:val="center"/>
              <w:rPr>
                <w:rFonts w:ascii="Georgia" w:hAnsi="Georgia" w:cstheme="minorHAnsi"/>
                <w:sz w:val="20"/>
                <w:szCs w:val="20"/>
              </w:rPr>
            </w:pPr>
            <w:r>
              <w:rPr>
                <w:rFonts w:ascii="Georgia" w:hAnsi="Georgia" w:cstheme="minorHAnsi"/>
                <w:sz w:val="20"/>
                <w:szCs w:val="20"/>
              </w:rPr>
              <w:t xml:space="preserve">0</w:t>
            </w:r>
            <w:r>
              <w:rPr>
                <w:rFonts w:ascii="Georgia" w:hAnsi="Georgia" w:cstheme="minorHAnsi"/>
                <w:sz w:val="20"/>
                <w:szCs w:val="20"/>
              </w:rPr>
            </w:r>
          </w:p>
        </w:tc>
      </w:tr>
      <w:tr>
        <w:trPr/>
        <w:tc>
          <w:tcPr>
            <w:tcBorders/>
            <w:tcW w:w="1555" w:type="dxa"/>
          </w:tcPr>
          <w:p w14:paraId="334A67D1" w14:textId="77777777">
            <w:pPr>
              <w:pBdr/>
              <w:spacing/>
              <w:ind/>
              <w:rPr>
                <w:rFonts w:ascii="Georgia" w:hAnsi="Georgia" w:cstheme="minorHAnsi"/>
                <w:sz w:val="20"/>
                <w:szCs w:val="20"/>
              </w:rPr>
            </w:pPr>
            <w:r>
              <w:rPr>
                <w:rFonts w:ascii="Georgia" w:hAnsi="Georgia" w:cstheme="minorHAnsi"/>
                <w:sz w:val="20"/>
                <w:szCs w:val="20"/>
              </w:rPr>
              <w:t xml:space="preserve">Areado</w:t>
            </w:r>
            <w:r>
              <w:rPr>
                <w:rFonts w:ascii="Georgia" w:hAnsi="Georgia" w:cstheme="minorHAnsi"/>
                <w:sz w:val="20"/>
                <w:szCs w:val="20"/>
              </w:rPr>
            </w:r>
          </w:p>
        </w:tc>
        <w:tc>
          <w:tcPr>
            <w:tcBorders/>
            <w:tcW w:w="1417" w:type="dxa"/>
          </w:tcPr>
          <w:p w14:paraId="487D8BAD" w14:textId="77777777">
            <w:pPr>
              <w:pBdr/>
              <w:spacing/>
              <w:ind/>
              <w:jc w:val="center"/>
              <w:rPr>
                <w:rFonts w:ascii="Georgia" w:hAnsi="Georgia" w:cstheme="minorHAnsi"/>
                <w:sz w:val="20"/>
                <w:szCs w:val="20"/>
              </w:rPr>
            </w:pPr>
            <w:r>
              <w:rPr>
                <w:rFonts w:ascii="Georgia" w:hAnsi="Georgia" w:cstheme="minorHAnsi"/>
                <w:sz w:val="20"/>
                <w:szCs w:val="20"/>
              </w:rPr>
              <w:t xml:space="preserve">0</w:t>
            </w:r>
            <w:r>
              <w:rPr>
                <w:rFonts w:ascii="Georgia" w:hAnsi="Georgia" w:cstheme="minorHAnsi"/>
                <w:sz w:val="20"/>
                <w:szCs w:val="20"/>
              </w:rPr>
            </w:r>
          </w:p>
        </w:tc>
        <w:tc>
          <w:tcPr>
            <w:tcBorders/>
            <w:tcW w:w="1604" w:type="dxa"/>
          </w:tcPr>
          <w:p w14:paraId="13644205" w14:textId="77777777">
            <w:pPr>
              <w:pBdr/>
              <w:spacing/>
              <w:ind/>
              <w:jc w:val="center"/>
              <w:rPr>
                <w:rFonts w:ascii="Georgia" w:hAnsi="Georgia" w:cstheme="minorHAnsi"/>
                <w:sz w:val="20"/>
                <w:szCs w:val="20"/>
              </w:rPr>
            </w:pPr>
            <w:r>
              <w:rPr>
                <w:rFonts w:ascii="Georgia" w:hAnsi="Georgia" w:cstheme="minorHAnsi"/>
                <w:sz w:val="20"/>
                <w:szCs w:val="20"/>
              </w:rPr>
              <w:t xml:space="preserve">0</w:t>
            </w:r>
            <w:r>
              <w:rPr>
                <w:rFonts w:ascii="Georgia" w:hAnsi="Georgia" w:cstheme="minorHAnsi"/>
                <w:sz w:val="20"/>
                <w:szCs w:val="20"/>
              </w:rPr>
            </w:r>
          </w:p>
        </w:tc>
        <w:tc>
          <w:tcPr>
            <w:tcBorders/>
            <w:tcW w:w="1596" w:type="dxa"/>
          </w:tcPr>
          <w:p w14:paraId="084568F3" w14:textId="77777777">
            <w:pPr>
              <w:pBdr/>
              <w:spacing/>
              <w:ind/>
              <w:jc w:val="center"/>
              <w:rPr>
                <w:rFonts w:ascii="Georgia" w:hAnsi="Georgia" w:cstheme="minorHAnsi"/>
                <w:sz w:val="20"/>
                <w:szCs w:val="20"/>
              </w:rPr>
            </w:pPr>
            <w:r>
              <w:rPr>
                <w:rFonts w:ascii="Georgia" w:hAnsi="Georgia" w:cstheme="minorHAnsi"/>
                <w:sz w:val="20"/>
                <w:szCs w:val="20"/>
              </w:rPr>
              <w:t xml:space="preserve">0</w:t>
            </w:r>
            <w:r>
              <w:rPr>
                <w:rFonts w:ascii="Georgia" w:hAnsi="Georgia" w:cstheme="minorHAnsi"/>
                <w:sz w:val="20"/>
                <w:szCs w:val="20"/>
              </w:rPr>
            </w:r>
          </w:p>
        </w:tc>
        <w:tc>
          <w:tcPr>
            <w:tcBorders/>
            <w:tcW w:w="1478" w:type="dxa"/>
          </w:tcPr>
          <w:p w14:paraId="69D7EF6B" w14:textId="77777777">
            <w:pPr>
              <w:pBdr/>
              <w:spacing/>
              <w:ind/>
              <w:jc w:val="center"/>
              <w:rPr>
                <w:rFonts w:ascii="Georgia" w:hAnsi="Georgia" w:cstheme="minorHAnsi"/>
                <w:sz w:val="20"/>
                <w:szCs w:val="20"/>
              </w:rPr>
            </w:pPr>
            <w:r>
              <w:rPr>
                <w:rFonts w:ascii="Georgia" w:hAnsi="Georgia" w:cstheme="minorHAnsi"/>
                <w:sz w:val="20"/>
                <w:szCs w:val="20"/>
              </w:rPr>
              <w:t xml:space="preserve">0</w:t>
            </w:r>
            <w:r>
              <w:rPr>
                <w:rFonts w:ascii="Georgia" w:hAnsi="Georgia" w:cstheme="minorHAnsi"/>
                <w:sz w:val="20"/>
                <w:szCs w:val="20"/>
              </w:rPr>
            </w:r>
          </w:p>
        </w:tc>
        <w:tc>
          <w:tcPr>
            <w:tcBorders/>
            <w:tcW w:w="844" w:type="dxa"/>
          </w:tcPr>
          <w:p w14:paraId="1C08BE1B" w14:textId="77777777">
            <w:pPr>
              <w:pBdr/>
              <w:spacing/>
              <w:ind/>
              <w:jc w:val="center"/>
              <w:rPr>
                <w:rFonts w:ascii="Georgia" w:hAnsi="Georgia" w:cstheme="minorHAnsi"/>
                <w:sz w:val="20"/>
                <w:szCs w:val="20"/>
              </w:rPr>
            </w:pPr>
            <w:r>
              <w:rPr>
                <w:rFonts w:ascii="Georgia" w:hAnsi="Georgia" w:cstheme="minorHAnsi"/>
                <w:sz w:val="20"/>
                <w:szCs w:val="20"/>
              </w:rPr>
              <w:t xml:space="preserve">0</w:t>
            </w:r>
            <w:r>
              <w:rPr>
                <w:rFonts w:ascii="Georgia" w:hAnsi="Georgia" w:cstheme="minorHAnsi"/>
                <w:sz w:val="20"/>
                <w:szCs w:val="20"/>
              </w:rPr>
            </w:r>
          </w:p>
        </w:tc>
      </w:tr>
      <w:tr>
        <w:trPr/>
        <w:tc>
          <w:tcPr>
            <w:tcBorders/>
            <w:tcW w:w="1555" w:type="dxa"/>
          </w:tcPr>
          <w:p w14:paraId="266AEA87" w14:textId="77777777">
            <w:pPr>
              <w:pBdr/>
              <w:spacing/>
              <w:ind/>
              <w:rPr>
                <w:rFonts w:ascii="Georgia" w:hAnsi="Georgia" w:cstheme="minorHAnsi"/>
                <w:sz w:val="20"/>
                <w:szCs w:val="20"/>
              </w:rPr>
            </w:pPr>
            <w:r>
              <w:rPr>
                <w:rFonts w:ascii="Georgia" w:hAnsi="Georgia" w:cstheme="minorHAnsi"/>
                <w:sz w:val="20"/>
                <w:szCs w:val="20"/>
              </w:rPr>
              <w:t xml:space="preserve">Campo do Meio</w:t>
            </w:r>
            <w:r>
              <w:rPr>
                <w:rFonts w:ascii="Georgia" w:hAnsi="Georgia" w:cstheme="minorHAnsi"/>
                <w:sz w:val="20"/>
                <w:szCs w:val="20"/>
              </w:rPr>
            </w:r>
          </w:p>
        </w:tc>
        <w:tc>
          <w:tcPr>
            <w:tcBorders/>
            <w:tcW w:w="1417" w:type="dxa"/>
          </w:tcPr>
          <w:p w14:paraId="6EB40EDD" w14:textId="77777777">
            <w:pPr>
              <w:pBdr/>
              <w:spacing/>
              <w:ind/>
              <w:jc w:val="center"/>
              <w:rPr>
                <w:rFonts w:ascii="Georgia" w:hAnsi="Georgia" w:cstheme="minorHAnsi"/>
                <w:sz w:val="20"/>
                <w:szCs w:val="20"/>
              </w:rPr>
            </w:pPr>
            <w:r>
              <w:rPr>
                <w:rFonts w:ascii="Georgia" w:hAnsi="Georgia" w:cstheme="minorHAnsi"/>
                <w:sz w:val="20"/>
                <w:szCs w:val="20"/>
              </w:rPr>
              <w:t xml:space="preserve">0</w:t>
            </w:r>
            <w:r>
              <w:rPr>
                <w:rFonts w:ascii="Georgia" w:hAnsi="Georgia" w:cstheme="minorHAnsi"/>
                <w:sz w:val="20"/>
                <w:szCs w:val="20"/>
              </w:rPr>
            </w:r>
          </w:p>
        </w:tc>
        <w:tc>
          <w:tcPr>
            <w:tcBorders/>
            <w:tcW w:w="1604" w:type="dxa"/>
          </w:tcPr>
          <w:p w14:paraId="0CAB1B9D" w14:textId="77777777">
            <w:pPr>
              <w:pBdr/>
              <w:spacing/>
              <w:ind/>
              <w:jc w:val="center"/>
              <w:rPr>
                <w:rFonts w:ascii="Georgia" w:hAnsi="Georgia" w:cstheme="minorHAnsi"/>
                <w:sz w:val="20"/>
                <w:szCs w:val="20"/>
              </w:rPr>
            </w:pPr>
            <w:r>
              <w:rPr>
                <w:rFonts w:ascii="Georgia" w:hAnsi="Georgia" w:cstheme="minorHAnsi"/>
                <w:sz w:val="20"/>
                <w:szCs w:val="20"/>
              </w:rPr>
              <w:t xml:space="preserve">0</w:t>
            </w:r>
            <w:r>
              <w:rPr>
                <w:rFonts w:ascii="Georgia" w:hAnsi="Georgia" w:cstheme="minorHAnsi"/>
                <w:sz w:val="20"/>
                <w:szCs w:val="20"/>
              </w:rPr>
            </w:r>
          </w:p>
        </w:tc>
        <w:tc>
          <w:tcPr>
            <w:tcBorders/>
            <w:tcW w:w="1596" w:type="dxa"/>
          </w:tcPr>
          <w:p w14:paraId="1B4F1C18" w14:textId="77777777">
            <w:pPr>
              <w:pBdr/>
              <w:spacing/>
              <w:ind/>
              <w:jc w:val="center"/>
              <w:rPr>
                <w:rFonts w:ascii="Georgia" w:hAnsi="Georgia" w:cstheme="minorHAnsi"/>
                <w:sz w:val="20"/>
                <w:szCs w:val="20"/>
              </w:rPr>
            </w:pPr>
            <w:r>
              <w:rPr>
                <w:rFonts w:ascii="Georgia" w:hAnsi="Georgia" w:cstheme="minorHAnsi"/>
                <w:sz w:val="20"/>
                <w:szCs w:val="20"/>
              </w:rPr>
              <w:t xml:space="preserve">0</w:t>
            </w:r>
            <w:r>
              <w:rPr>
                <w:rFonts w:ascii="Georgia" w:hAnsi="Georgia" w:cstheme="minorHAnsi"/>
                <w:sz w:val="20"/>
                <w:szCs w:val="20"/>
              </w:rPr>
            </w:r>
          </w:p>
        </w:tc>
        <w:tc>
          <w:tcPr>
            <w:tcBorders/>
            <w:tcW w:w="1478" w:type="dxa"/>
          </w:tcPr>
          <w:p w14:paraId="44F59830" w14:textId="77777777">
            <w:pPr>
              <w:pBdr/>
              <w:spacing/>
              <w:ind/>
              <w:jc w:val="center"/>
              <w:rPr>
                <w:rFonts w:ascii="Georgia" w:hAnsi="Georgia" w:cstheme="minorHAnsi"/>
                <w:sz w:val="20"/>
                <w:szCs w:val="20"/>
              </w:rPr>
            </w:pPr>
            <w:r>
              <w:rPr>
                <w:rFonts w:ascii="Georgia" w:hAnsi="Georgia" w:cstheme="minorHAnsi"/>
                <w:sz w:val="20"/>
                <w:szCs w:val="20"/>
              </w:rPr>
              <w:t xml:space="preserve">0</w:t>
            </w:r>
            <w:r>
              <w:rPr>
                <w:rFonts w:ascii="Georgia" w:hAnsi="Georgia" w:cstheme="minorHAnsi"/>
                <w:sz w:val="20"/>
                <w:szCs w:val="20"/>
              </w:rPr>
            </w:r>
          </w:p>
        </w:tc>
        <w:tc>
          <w:tcPr>
            <w:tcBorders/>
            <w:tcW w:w="844" w:type="dxa"/>
          </w:tcPr>
          <w:p w14:paraId="1CDC509E" w14:textId="77777777">
            <w:pPr>
              <w:pBdr/>
              <w:spacing/>
              <w:ind/>
              <w:jc w:val="center"/>
              <w:rPr>
                <w:rFonts w:ascii="Georgia" w:hAnsi="Georgia" w:cstheme="minorHAnsi"/>
                <w:sz w:val="20"/>
                <w:szCs w:val="20"/>
              </w:rPr>
            </w:pPr>
            <w:r>
              <w:rPr>
                <w:rFonts w:ascii="Georgia" w:hAnsi="Georgia" w:cstheme="minorHAnsi"/>
                <w:sz w:val="20"/>
                <w:szCs w:val="20"/>
              </w:rPr>
              <w:t xml:space="preserve">0</w:t>
            </w:r>
            <w:r>
              <w:rPr>
                <w:rFonts w:ascii="Georgia" w:hAnsi="Georgia" w:cstheme="minorHAnsi"/>
                <w:sz w:val="20"/>
                <w:szCs w:val="20"/>
              </w:rPr>
            </w:r>
          </w:p>
        </w:tc>
      </w:tr>
      <w:tr>
        <w:trPr/>
        <w:tc>
          <w:tcPr>
            <w:tcBorders/>
            <w:tcW w:w="1555" w:type="dxa"/>
          </w:tcPr>
          <w:p w14:paraId="5E5F6B28" w14:textId="77777777">
            <w:pPr>
              <w:pBdr/>
              <w:spacing/>
              <w:ind/>
              <w:rPr>
                <w:rFonts w:ascii="Georgia" w:hAnsi="Georgia" w:cstheme="minorHAnsi"/>
                <w:sz w:val="20"/>
                <w:szCs w:val="20"/>
              </w:rPr>
            </w:pPr>
            <w:r>
              <w:rPr>
                <w:rFonts w:ascii="Georgia" w:hAnsi="Georgia" w:cstheme="minorHAnsi"/>
                <w:sz w:val="20"/>
                <w:szCs w:val="20"/>
              </w:rPr>
              <w:t xml:space="preserve">Campos Gerais</w:t>
            </w:r>
            <w:r>
              <w:rPr>
                <w:rFonts w:ascii="Georgia" w:hAnsi="Georgia" w:cstheme="minorHAnsi"/>
                <w:sz w:val="20"/>
                <w:szCs w:val="20"/>
              </w:rPr>
            </w:r>
          </w:p>
        </w:tc>
        <w:tc>
          <w:tcPr>
            <w:tcBorders/>
            <w:tcW w:w="1417" w:type="dxa"/>
          </w:tcPr>
          <w:p w14:paraId="0D9EC815" w14:textId="77777777">
            <w:pPr>
              <w:pBdr/>
              <w:spacing/>
              <w:ind/>
              <w:jc w:val="center"/>
              <w:rPr>
                <w:rFonts w:ascii="Georgia" w:hAnsi="Georgia" w:cstheme="minorHAnsi"/>
                <w:sz w:val="20"/>
                <w:szCs w:val="20"/>
              </w:rPr>
            </w:pPr>
            <w:r>
              <w:rPr>
                <w:rFonts w:ascii="Georgia" w:hAnsi="Georgia" w:cstheme="minorHAnsi"/>
                <w:sz w:val="20"/>
                <w:szCs w:val="20"/>
              </w:rPr>
              <w:t xml:space="preserve">0</w:t>
            </w:r>
            <w:r>
              <w:rPr>
                <w:rFonts w:ascii="Georgia" w:hAnsi="Georgia" w:cstheme="minorHAnsi"/>
                <w:sz w:val="20"/>
                <w:szCs w:val="20"/>
              </w:rPr>
            </w:r>
          </w:p>
        </w:tc>
        <w:tc>
          <w:tcPr>
            <w:tcBorders/>
            <w:tcW w:w="1604" w:type="dxa"/>
          </w:tcPr>
          <w:p w14:paraId="1F6E8C59" w14:textId="77777777">
            <w:pPr>
              <w:pBdr/>
              <w:spacing/>
              <w:ind/>
              <w:jc w:val="center"/>
              <w:rPr>
                <w:rFonts w:ascii="Georgia" w:hAnsi="Georgia" w:cstheme="minorHAnsi"/>
                <w:sz w:val="20"/>
                <w:szCs w:val="20"/>
              </w:rPr>
            </w:pPr>
            <w:r>
              <w:rPr>
                <w:rFonts w:ascii="Georgia" w:hAnsi="Georgia" w:cstheme="minorHAnsi"/>
                <w:sz w:val="20"/>
                <w:szCs w:val="20"/>
              </w:rPr>
              <w:t xml:space="preserve">1</w:t>
            </w:r>
            <w:r>
              <w:rPr>
                <w:rFonts w:ascii="Georgia" w:hAnsi="Georgia" w:cstheme="minorHAnsi"/>
                <w:sz w:val="20"/>
                <w:szCs w:val="20"/>
              </w:rPr>
            </w:r>
          </w:p>
        </w:tc>
        <w:tc>
          <w:tcPr>
            <w:tcBorders/>
            <w:tcW w:w="1596" w:type="dxa"/>
          </w:tcPr>
          <w:p w14:paraId="6F0AE714" w14:textId="77777777">
            <w:pPr>
              <w:pBdr/>
              <w:spacing/>
              <w:ind/>
              <w:jc w:val="center"/>
              <w:rPr>
                <w:rFonts w:ascii="Georgia" w:hAnsi="Georgia" w:cstheme="minorHAnsi"/>
                <w:sz w:val="20"/>
                <w:szCs w:val="20"/>
              </w:rPr>
            </w:pPr>
            <w:r>
              <w:rPr>
                <w:rFonts w:ascii="Georgia" w:hAnsi="Georgia" w:cstheme="minorHAnsi"/>
                <w:sz w:val="20"/>
                <w:szCs w:val="20"/>
              </w:rPr>
              <w:t xml:space="preserve">0</w:t>
            </w:r>
            <w:r>
              <w:rPr>
                <w:rFonts w:ascii="Georgia" w:hAnsi="Georgia" w:cstheme="minorHAnsi"/>
                <w:sz w:val="20"/>
                <w:szCs w:val="20"/>
              </w:rPr>
            </w:r>
          </w:p>
        </w:tc>
        <w:tc>
          <w:tcPr>
            <w:tcBorders/>
            <w:tcW w:w="1478" w:type="dxa"/>
          </w:tcPr>
          <w:p w14:paraId="104FE5AD" w14:textId="77777777">
            <w:pPr>
              <w:pBdr/>
              <w:spacing/>
              <w:ind/>
              <w:jc w:val="center"/>
              <w:rPr>
                <w:rFonts w:ascii="Georgia" w:hAnsi="Georgia" w:cstheme="minorHAnsi"/>
                <w:sz w:val="20"/>
                <w:szCs w:val="20"/>
              </w:rPr>
            </w:pPr>
            <w:r>
              <w:rPr>
                <w:rFonts w:ascii="Georgia" w:hAnsi="Georgia" w:cstheme="minorHAnsi"/>
                <w:sz w:val="20"/>
                <w:szCs w:val="20"/>
              </w:rPr>
              <w:t xml:space="preserve">0</w:t>
            </w:r>
            <w:r>
              <w:rPr>
                <w:rFonts w:ascii="Georgia" w:hAnsi="Georgia" w:cstheme="minorHAnsi"/>
                <w:sz w:val="20"/>
                <w:szCs w:val="20"/>
              </w:rPr>
            </w:r>
          </w:p>
        </w:tc>
        <w:tc>
          <w:tcPr>
            <w:tcBorders/>
            <w:tcW w:w="844" w:type="dxa"/>
          </w:tcPr>
          <w:p w14:paraId="642AD79E" w14:textId="77777777">
            <w:pPr>
              <w:pBdr/>
              <w:spacing/>
              <w:ind/>
              <w:jc w:val="center"/>
              <w:rPr>
                <w:rFonts w:ascii="Georgia" w:hAnsi="Georgia" w:cstheme="minorHAnsi"/>
                <w:sz w:val="20"/>
                <w:szCs w:val="20"/>
              </w:rPr>
            </w:pPr>
            <w:r>
              <w:rPr>
                <w:rFonts w:ascii="Georgia" w:hAnsi="Georgia" w:cstheme="minorHAnsi"/>
                <w:sz w:val="20"/>
                <w:szCs w:val="20"/>
              </w:rPr>
              <w:t xml:space="preserve">1</w:t>
            </w:r>
            <w:r>
              <w:rPr>
                <w:rFonts w:ascii="Georgia" w:hAnsi="Georgia" w:cstheme="minorHAnsi"/>
                <w:sz w:val="20"/>
                <w:szCs w:val="20"/>
              </w:rPr>
            </w:r>
          </w:p>
        </w:tc>
      </w:tr>
      <w:tr>
        <w:trPr/>
        <w:tc>
          <w:tcPr>
            <w:tcBorders/>
            <w:tcW w:w="1555" w:type="dxa"/>
          </w:tcPr>
          <w:p w14:paraId="1304ECDC" w14:textId="77777777">
            <w:pPr>
              <w:pBdr/>
              <w:spacing/>
              <w:ind/>
              <w:rPr>
                <w:rFonts w:ascii="Georgia" w:hAnsi="Georgia" w:cstheme="minorHAnsi"/>
                <w:sz w:val="20"/>
                <w:szCs w:val="20"/>
              </w:rPr>
            </w:pPr>
            <w:r>
              <w:rPr>
                <w:rFonts w:ascii="Georgia" w:hAnsi="Georgia" w:cstheme="minorHAnsi"/>
                <w:sz w:val="20"/>
                <w:szCs w:val="20"/>
              </w:rPr>
              <w:t xml:space="preserve">Carvalhópolis</w:t>
            </w:r>
            <w:r>
              <w:rPr>
                <w:rFonts w:ascii="Georgia" w:hAnsi="Georgia" w:cstheme="minorHAnsi"/>
                <w:sz w:val="20"/>
                <w:szCs w:val="20"/>
              </w:rPr>
            </w:r>
          </w:p>
        </w:tc>
        <w:tc>
          <w:tcPr>
            <w:tcBorders/>
            <w:tcW w:w="1417" w:type="dxa"/>
          </w:tcPr>
          <w:p w14:paraId="3EFF7B41" w14:textId="77777777">
            <w:pPr>
              <w:pBdr/>
              <w:spacing/>
              <w:ind/>
              <w:jc w:val="center"/>
              <w:rPr>
                <w:rFonts w:ascii="Georgia" w:hAnsi="Georgia" w:cstheme="minorHAnsi"/>
                <w:sz w:val="20"/>
                <w:szCs w:val="20"/>
              </w:rPr>
            </w:pPr>
            <w:r>
              <w:rPr>
                <w:rFonts w:ascii="Georgia" w:hAnsi="Georgia" w:cstheme="minorHAnsi"/>
                <w:sz w:val="20"/>
                <w:szCs w:val="20"/>
              </w:rPr>
              <w:t xml:space="preserve">0</w:t>
            </w:r>
            <w:r>
              <w:rPr>
                <w:rFonts w:ascii="Georgia" w:hAnsi="Georgia" w:cstheme="minorHAnsi"/>
                <w:sz w:val="20"/>
                <w:szCs w:val="20"/>
              </w:rPr>
            </w:r>
          </w:p>
        </w:tc>
        <w:tc>
          <w:tcPr>
            <w:tcBorders/>
            <w:tcW w:w="1604" w:type="dxa"/>
          </w:tcPr>
          <w:p w14:paraId="6A284374" w14:textId="77777777">
            <w:pPr>
              <w:pBdr/>
              <w:spacing/>
              <w:ind/>
              <w:jc w:val="center"/>
              <w:rPr>
                <w:rFonts w:ascii="Georgia" w:hAnsi="Georgia" w:cstheme="minorHAnsi"/>
                <w:sz w:val="20"/>
                <w:szCs w:val="20"/>
              </w:rPr>
            </w:pPr>
            <w:r>
              <w:rPr>
                <w:rFonts w:ascii="Georgia" w:hAnsi="Georgia" w:cstheme="minorHAnsi"/>
                <w:sz w:val="20"/>
                <w:szCs w:val="20"/>
              </w:rPr>
              <w:t xml:space="preserve">0</w:t>
            </w:r>
            <w:r>
              <w:rPr>
                <w:rFonts w:ascii="Georgia" w:hAnsi="Georgia" w:cstheme="minorHAnsi"/>
                <w:sz w:val="20"/>
                <w:szCs w:val="20"/>
              </w:rPr>
            </w:r>
          </w:p>
        </w:tc>
        <w:tc>
          <w:tcPr>
            <w:tcBorders/>
            <w:tcW w:w="1596" w:type="dxa"/>
          </w:tcPr>
          <w:p w14:paraId="25B0A6FD" w14:textId="77777777">
            <w:pPr>
              <w:pBdr/>
              <w:spacing/>
              <w:ind/>
              <w:jc w:val="center"/>
              <w:rPr>
                <w:rFonts w:ascii="Georgia" w:hAnsi="Georgia" w:cstheme="minorHAnsi"/>
                <w:sz w:val="20"/>
                <w:szCs w:val="20"/>
              </w:rPr>
            </w:pPr>
            <w:r>
              <w:rPr>
                <w:rFonts w:ascii="Georgia" w:hAnsi="Georgia" w:cstheme="minorHAnsi"/>
                <w:sz w:val="20"/>
                <w:szCs w:val="20"/>
              </w:rPr>
              <w:t xml:space="preserve">0</w:t>
            </w:r>
            <w:r>
              <w:rPr>
                <w:rFonts w:ascii="Georgia" w:hAnsi="Georgia" w:cstheme="minorHAnsi"/>
                <w:sz w:val="20"/>
                <w:szCs w:val="20"/>
              </w:rPr>
            </w:r>
          </w:p>
        </w:tc>
        <w:tc>
          <w:tcPr>
            <w:tcBorders/>
            <w:tcW w:w="1478" w:type="dxa"/>
          </w:tcPr>
          <w:p w14:paraId="0502F654" w14:textId="77777777">
            <w:pPr>
              <w:pBdr/>
              <w:spacing/>
              <w:ind/>
              <w:jc w:val="center"/>
              <w:rPr>
                <w:rFonts w:ascii="Georgia" w:hAnsi="Georgia" w:cstheme="minorHAnsi"/>
                <w:sz w:val="20"/>
                <w:szCs w:val="20"/>
              </w:rPr>
            </w:pPr>
            <w:r>
              <w:rPr>
                <w:rFonts w:ascii="Georgia" w:hAnsi="Georgia" w:cstheme="minorHAnsi"/>
                <w:sz w:val="20"/>
                <w:szCs w:val="20"/>
              </w:rPr>
              <w:t xml:space="preserve">0</w:t>
            </w:r>
            <w:r>
              <w:rPr>
                <w:rFonts w:ascii="Georgia" w:hAnsi="Georgia" w:cstheme="minorHAnsi"/>
                <w:sz w:val="20"/>
                <w:szCs w:val="20"/>
              </w:rPr>
            </w:r>
          </w:p>
        </w:tc>
        <w:tc>
          <w:tcPr>
            <w:tcBorders/>
            <w:tcW w:w="844" w:type="dxa"/>
          </w:tcPr>
          <w:p w14:paraId="5DB0B3C1" w14:textId="77777777">
            <w:pPr>
              <w:pBdr/>
              <w:spacing/>
              <w:ind/>
              <w:jc w:val="center"/>
              <w:rPr>
                <w:rFonts w:ascii="Georgia" w:hAnsi="Georgia" w:cstheme="minorHAnsi"/>
                <w:sz w:val="20"/>
                <w:szCs w:val="20"/>
              </w:rPr>
            </w:pPr>
            <w:r>
              <w:rPr>
                <w:rFonts w:ascii="Georgia" w:hAnsi="Georgia" w:cstheme="minorHAnsi"/>
                <w:sz w:val="20"/>
                <w:szCs w:val="20"/>
              </w:rPr>
              <w:t xml:space="preserve">0</w:t>
            </w:r>
            <w:r>
              <w:rPr>
                <w:rFonts w:ascii="Georgia" w:hAnsi="Georgia" w:cstheme="minorHAnsi"/>
                <w:sz w:val="20"/>
                <w:szCs w:val="20"/>
              </w:rPr>
            </w:r>
          </w:p>
        </w:tc>
      </w:tr>
      <w:tr>
        <w:trPr/>
        <w:tc>
          <w:tcPr>
            <w:tcBorders/>
            <w:tcW w:w="1555" w:type="dxa"/>
          </w:tcPr>
          <w:p w14:paraId="3F3FEA23" w14:textId="77777777">
            <w:pPr>
              <w:pBdr/>
              <w:spacing/>
              <w:ind/>
              <w:rPr>
                <w:rFonts w:ascii="Georgia" w:hAnsi="Georgia" w:cstheme="minorHAnsi"/>
                <w:sz w:val="20"/>
                <w:szCs w:val="20"/>
              </w:rPr>
            </w:pPr>
            <w:r>
              <w:rPr>
                <w:rFonts w:ascii="Georgia" w:hAnsi="Georgia" w:cstheme="minorHAnsi"/>
                <w:sz w:val="20"/>
                <w:szCs w:val="20"/>
              </w:rPr>
              <w:t xml:space="preserve">Conceição da Aparecida</w:t>
            </w:r>
            <w:r>
              <w:rPr>
                <w:rFonts w:ascii="Georgia" w:hAnsi="Georgia" w:cstheme="minorHAnsi"/>
                <w:sz w:val="20"/>
                <w:szCs w:val="20"/>
              </w:rPr>
            </w:r>
          </w:p>
        </w:tc>
        <w:tc>
          <w:tcPr>
            <w:tcBorders/>
            <w:tcW w:w="1417" w:type="dxa"/>
          </w:tcPr>
          <w:p w14:paraId="12062366" w14:textId="77777777">
            <w:pPr>
              <w:pBdr/>
              <w:spacing/>
              <w:ind/>
              <w:jc w:val="center"/>
              <w:rPr>
                <w:rFonts w:ascii="Georgia" w:hAnsi="Georgia" w:cstheme="minorHAnsi"/>
                <w:sz w:val="20"/>
                <w:szCs w:val="20"/>
              </w:rPr>
            </w:pPr>
            <w:r>
              <w:rPr>
                <w:rFonts w:ascii="Georgia" w:hAnsi="Georgia" w:cstheme="minorHAnsi"/>
                <w:sz w:val="20"/>
                <w:szCs w:val="20"/>
              </w:rPr>
              <w:t xml:space="preserve">0</w:t>
            </w:r>
            <w:r>
              <w:rPr>
                <w:rFonts w:ascii="Georgia" w:hAnsi="Georgia" w:cstheme="minorHAnsi"/>
                <w:sz w:val="20"/>
                <w:szCs w:val="20"/>
              </w:rPr>
            </w:r>
          </w:p>
        </w:tc>
        <w:tc>
          <w:tcPr>
            <w:tcBorders/>
            <w:tcW w:w="1604" w:type="dxa"/>
          </w:tcPr>
          <w:p w14:paraId="1088BC00" w14:textId="77777777">
            <w:pPr>
              <w:pBdr/>
              <w:spacing/>
              <w:ind/>
              <w:jc w:val="center"/>
              <w:rPr>
                <w:rFonts w:ascii="Georgia" w:hAnsi="Georgia" w:cstheme="minorHAnsi"/>
                <w:sz w:val="20"/>
                <w:szCs w:val="20"/>
              </w:rPr>
            </w:pPr>
            <w:r>
              <w:rPr>
                <w:rFonts w:ascii="Georgia" w:hAnsi="Georgia" w:cstheme="minorHAnsi"/>
                <w:sz w:val="20"/>
                <w:szCs w:val="20"/>
              </w:rPr>
              <w:t xml:space="preserve">1</w:t>
            </w:r>
            <w:r>
              <w:rPr>
                <w:rFonts w:ascii="Georgia" w:hAnsi="Georgia" w:cstheme="minorHAnsi"/>
                <w:sz w:val="20"/>
                <w:szCs w:val="20"/>
              </w:rPr>
            </w:r>
          </w:p>
        </w:tc>
        <w:tc>
          <w:tcPr>
            <w:tcBorders/>
            <w:tcW w:w="1596" w:type="dxa"/>
          </w:tcPr>
          <w:p w14:paraId="68A10B76" w14:textId="77777777">
            <w:pPr>
              <w:pBdr/>
              <w:spacing/>
              <w:ind/>
              <w:jc w:val="center"/>
              <w:rPr>
                <w:rFonts w:ascii="Georgia" w:hAnsi="Georgia" w:cstheme="minorHAnsi"/>
                <w:sz w:val="20"/>
                <w:szCs w:val="20"/>
              </w:rPr>
            </w:pPr>
            <w:r>
              <w:rPr>
                <w:rFonts w:ascii="Georgia" w:hAnsi="Georgia" w:cstheme="minorHAnsi"/>
                <w:sz w:val="20"/>
                <w:szCs w:val="20"/>
              </w:rPr>
              <w:t xml:space="preserve">0</w:t>
            </w:r>
            <w:r>
              <w:rPr>
                <w:rFonts w:ascii="Georgia" w:hAnsi="Georgia" w:cstheme="minorHAnsi"/>
                <w:sz w:val="20"/>
                <w:szCs w:val="20"/>
              </w:rPr>
            </w:r>
          </w:p>
        </w:tc>
        <w:tc>
          <w:tcPr>
            <w:tcBorders/>
            <w:tcW w:w="1478" w:type="dxa"/>
          </w:tcPr>
          <w:p w14:paraId="0541A84E" w14:textId="77777777">
            <w:pPr>
              <w:pBdr/>
              <w:spacing/>
              <w:ind/>
              <w:jc w:val="center"/>
              <w:rPr>
                <w:rFonts w:ascii="Georgia" w:hAnsi="Georgia" w:cstheme="minorHAnsi"/>
                <w:sz w:val="20"/>
                <w:szCs w:val="20"/>
              </w:rPr>
            </w:pPr>
            <w:r>
              <w:rPr>
                <w:rFonts w:ascii="Georgia" w:hAnsi="Georgia" w:cstheme="minorHAnsi"/>
                <w:sz w:val="20"/>
                <w:szCs w:val="20"/>
              </w:rPr>
              <w:t xml:space="preserve">0</w:t>
            </w:r>
            <w:r>
              <w:rPr>
                <w:rFonts w:ascii="Georgia" w:hAnsi="Georgia" w:cstheme="minorHAnsi"/>
                <w:sz w:val="20"/>
                <w:szCs w:val="20"/>
              </w:rPr>
            </w:r>
          </w:p>
        </w:tc>
        <w:tc>
          <w:tcPr>
            <w:tcBorders/>
            <w:tcW w:w="844" w:type="dxa"/>
          </w:tcPr>
          <w:p w14:paraId="42E2642B" w14:textId="77777777">
            <w:pPr>
              <w:pBdr/>
              <w:spacing/>
              <w:ind/>
              <w:jc w:val="center"/>
              <w:rPr>
                <w:rFonts w:ascii="Georgia" w:hAnsi="Georgia" w:cstheme="minorHAnsi"/>
                <w:sz w:val="20"/>
                <w:szCs w:val="20"/>
              </w:rPr>
            </w:pPr>
            <w:r>
              <w:rPr>
                <w:rFonts w:ascii="Georgia" w:hAnsi="Georgia" w:cstheme="minorHAnsi"/>
                <w:sz w:val="20"/>
                <w:szCs w:val="20"/>
              </w:rPr>
              <w:t xml:space="preserve">1</w:t>
            </w:r>
            <w:r>
              <w:rPr>
                <w:rFonts w:ascii="Georgia" w:hAnsi="Georgia" w:cstheme="minorHAnsi"/>
                <w:sz w:val="20"/>
                <w:szCs w:val="20"/>
              </w:rPr>
            </w:r>
          </w:p>
        </w:tc>
      </w:tr>
      <w:tr>
        <w:trPr/>
        <w:tc>
          <w:tcPr>
            <w:tcBorders/>
            <w:tcW w:w="1555" w:type="dxa"/>
          </w:tcPr>
          <w:p w14:paraId="13559257" w14:textId="77777777">
            <w:pPr>
              <w:pBdr/>
              <w:spacing/>
              <w:ind/>
              <w:rPr>
                <w:rFonts w:ascii="Georgia" w:hAnsi="Georgia" w:cstheme="minorHAnsi"/>
                <w:sz w:val="20"/>
                <w:szCs w:val="20"/>
              </w:rPr>
            </w:pPr>
            <w:r>
              <w:rPr>
                <w:rFonts w:ascii="Georgia" w:hAnsi="Georgia" w:cstheme="minorHAnsi"/>
                <w:sz w:val="20"/>
                <w:szCs w:val="20"/>
              </w:rPr>
              <w:t xml:space="preserve">Divisa Nova</w:t>
            </w:r>
            <w:r>
              <w:rPr>
                <w:rFonts w:ascii="Georgia" w:hAnsi="Georgia" w:cstheme="minorHAnsi"/>
                <w:sz w:val="20"/>
                <w:szCs w:val="20"/>
              </w:rPr>
            </w:r>
          </w:p>
        </w:tc>
        <w:tc>
          <w:tcPr>
            <w:tcBorders/>
            <w:tcW w:w="1417" w:type="dxa"/>
          </w:tcPr>
          <w:p w14:paraId="54DBE1FB" w14:textId="77777777">
            <w:pPr>
              <w:pBdr/>
              <w:spacing/>
              <w:ind/>
              <w:jc w:val="center"/>
              <w:rPr>
                <w:rFonts w:ascii="Georgia" w:hAnsi="Georgia" w:cstheme="minorHAnsi"/>
                <w:sz w:val="20"/>
                <w:szCs w:val="20"/>
              </w:rPr>
            </w:pPr>
            <w:r>
              <w:rPr>
                <w:rFonts w:ascii="Georgia" w:hAnsi="Georgia" w:cstheme="minorHAnsi"/>
                <w:sz w:val="20"/>
                <w:szCs w:val="20"/>
              </w:rPr>
              <w:t xml:space="preserve">0</w:t>
            </w:r>
            <w:r>
              <w:rPr>
                <w:rFonts w:ascii="Georgia" w:hAnsi="Georgia" w:cstheme="minorHAnsi"/>
                <w:sz w:val="20"/>
                <w:szCs w:val="20"/>
              </w:rPr>
            </w:r>
          </w:p>
        </w:tc>
        <w:tc>
          <w:tcPr>
            <w:tcBorders/>
            <w:tcW w:w="1604" w:type="dxa"/>
          </w:tcPr>
          <w:p w14:paraId="12794AE1" w14:textId="77777777">
            <w:pPr>
              <w:pBdr/>
              <w:spacing/>
              <w:ind/>
              <w:jc w:val="center"/>
              <w:rPr>
                <w:rFonts w:ascii="Georgia" w:hAnsi="Georgia" w:cstheme="minorHAnsi"/>
                <w:sz w:val="20"/>
                <w:szCs w:val="20"/>
              </w:rPr>
            </w:pPr>
            <w:r>
              <w:rPr>
                <w:rFonts w:ascii="Georgia" w:hAnsi="Georgia" w:cstheme="minorHAnsi"/>
                <w:sz w:val="20"/>
                <w:szCs w:val="20"/>
              </w:rPr>
              <w:t xml:space="preserve">0</w:t>
            </w:r>
            <w:r>
              <w:rPr>
                <w:rFonts w:ascii="Georgia" w:hAnsi="Georgia" w:cstheme="minorHAnsi"/>
                <w:sz w:val="20"/>
                <w:szCs w:val="20"/>
              </w:rPr>
            </w:r>
          </w:p>
        </w:tc>
        <w:tc>
          <w:tcPr>
            <w:tcBorders/>
            <w:tcW w:w="1596" w:type="dxa"/>
          </w:tcPr>
          <w:p w14:paraId="523A5468" w14:textId="77777777">
            <w:pPr>
              <w:pBdr/>
              <w:spacing/>
              <w:ind/>
              <w:jc w:val="center"/>
              <w:rPr>
                <w:rFonts w:ascii="Georgia" w:hAnsi="Georgia" w:cstheme="minorHAnsi"/>
                <w:sz w:val="20"/>
                <w:szCs w:val="20"/>
              </w:rPr>
            </w:pPr>
            <w:r>
              <w:rPr>
                <w:rFonts w:ascii="Georgia" w:hAnsi="Georgia" w:cstheme="minorHAnsi"/>
                <w:sz w:val="20"/>
                <w:szCs w:val="20"/>
              </w:rPr>
              <w:t xml:space="preserve">0</w:t>
            </w:r>
            <w:r>
              <w:rPr>
                <w:rFonts w:ascii="Georgia" w:hAnsi="Georgia" w:cstheme="minorHAnsi"/>
                <w:sz w:val="20"/>
                <w:szCs w:val="20"/>
              </w:rPr>
            </w:r>
          </w:p>
        </w:tc>
        <w:tc>
          <w:tcPr>
            <w:tcBorders/>
            <w:tcW w:w="1478" w:type="dxa"/>
          </w:tcPr>
          <w:p w14:paraId="22C4FC3D" w14:textId="77777777">
            <w:pPr>
              <w:pBdr/>
              <w:spacing/>
              <w:ind/>
              <w:jc w:val="center"/>
              <w:rPr>
                <w:rFonts w:ascii="Georgia" w:hAnsi="Georgia" w:cstheme="minorHAnsi"/>
                <w:sz w:val="20"/>
                <w:szCs w:val="20"/>
              </w:rPr>
            </w:pPr>
            <w:r>
              <w:rPr>
                <w:rFonts w:ascii="Georgia" w:hAnsi="Georgia" w:cstheme="minorHAnsi"/>
                <w:sz w:val="20"/>
                <w:szCs w:val="20"/>
              </w:rPr>
              <w:t xml:space="preserve">0</w:t>
            </w:r>
            <w:r>
              <w:rPr>
                <w:rFonts w:ascii="Georgia" w:hAnsi="Georgia" w:cstheme="minorHAnsi"/>
                <w:sz w:val="20"/>
                <w:szCs w:val="20"/>
              </w:rPr>
            </w:r>
          </w:p>
        </w:tc>
        <w:tc>
          <w:tcPr>
            <w:tcBorders/>
            <w:tcW w:w="844" w:type="dxa"/>
          </w:tcPr>
          <w:p w14:paraId="7A0D7D8F" w14:textId="77777777">
            <w:pPr>
              <w:pBdr/>
              <w:spacing/>
              <w:ind/>
              <w:jc w:val="center"/>
              <w:rPr>
                <w:rFonts w:ascii="Georgia" w:hAnsi="Georgia" w:cstheme="minorHAnsi"/>
                <w:sz w:val="20"/>
                <w:szCs w:val="20"/>
              </w:rPr>
            </w:pPr>
            <w:r>
              <w:rPr>
                <w:rFonts w:ascii="Georgia" w:hAnsi="Georgia" w:cstheme="minorHAnsi"/>
                <w:sz w:val="20"/>
                <w:szCs w:val="20"/>
              </w:rPr>
              <w:t xml:space="preserve">0</w:t>
            </w:r>
            <w:r>
              <w:rPr>
                <w:rFonts w:ascii="Georgia" w:hAnsi="Georgia" w:cstheme="minorHAnsi"/>
                <w:sz w:val="20"/>
                <w:szCs w:val="20"/>
              </w:rPr>
            </w:r>
          </w:p>
        </w:tc>
      </w:tr>
      <w:tr>
        <w:trPr/>
        <w:tc>
          <w:tcPr>
            <w:tcBorders/>
            <w:tcW w:w="1555" w:type="dxa"/>
          </w:tcPr>
          <w:p w14:paraId="1DAF3D07" w14:textId="77777777">
            <w:pPr>
              <w:pBdr/>
              <w:spacing/>
              <w:ind/>
              <w:rPr>
                <w:rFonts w:ascii="Georgia" w:hAnsi="Georgia" w:cstheme="minorHAnsi"/>
                <w:sz w:val="20"/>
                <w:szCs w:val="20"/>
              </w:rPr>
            </w:pPr>
            <w:r>
              <w:rPr>
                <w:rFonts w:ascii="Georgia" w:hAnsi="Georgia" w:cstheme="minorHAnsi"/>
                <w:sz w:val="20"/>
                <w:szCs w:val="20"/>
              </w:rPr>
              <w:t xml:space="preserve">Fama</w:t>
            </w:r>
            <w:r>
              <w:rPr>
                <w:rFonts w:ascii="Georgia" w:hAnsi="Georgia" w:cstheme="minorHAnsi"/>
                <w:sz w:val="20"/>
                <w:szCs w:val="20"/>
              </w:rPr>
            </w:r>
          </w:p>
        </w:tc>
        <w:tc>
          <w:tcPr>
            <w:tcBorders/>
            <w:tcW w:w="1417" w:type="dxa"/>
          </w:tcPr>
          <w:p w14:paraId="66C4EC04" w14:textId="77777777">
            <w:pPr>
              <w:pBdr/>
              <w:spacing/>
              <w:ind/>
              <w:jc w:val="center"/>
              <w:rPr>
                <w:rFonts w:ascii="Georgia" w:hAnsi="Georgia" w:cstheme="minorHAnsi"/>
                <w:sz w:val="20"/>
                <w:szCs w:val="20"/>
              </w:rPr>
            </w:pPr>
            <w:r>
              <w:rPr>
                <w:rFonts w:ascii="Georgia" w:hAnsi="Georgia" w:cstheme="minorHAnsi"/>
                <w:sz w:val="20"/>
                <w:szCs w:val="20"/>
              </w:rPr>
              <w:t xml:space="preserve">0</w:t>
            </w:r>
            <w:r>
              <w:rPr>
                <w:rFonts w:ascii="Georgia" w:hAnsi="Georgia" w:cstheme="minorHAnsi"/>
                <w:sz w:val="20"/>
                <w:szCs w:val="20"/>
              </w:rPr>
            </w:r>
          </w:p>
        </w:tc>
        <w:tc>
          <w:tcPr>
            <w:tcBorders/>
            <w:tcW w:w="1604" w:type="dxa"/>
          </w:tcPr>
          <w:p w14:paraId="2B9F3151" w14:textId="77777777">
            <w:pPr>
              <w:pBdr/>
              <w:spacing/>
              <w:ind/>
              <w:jc w:val="center"/>
              <w:rPr>
                <w:rFonts w:ascii="Georgia" w:hAnsi="Georgia" w:cstheme="minorHAnsi"/>
                <w:sz w:val="20"/>
                <w:szCs w:val="20"/>
              </w:rPr>
            </w:pPr>
            <w:r>
              <w:rPr>
                <w:rFonts w:ascii="Georgia" w:hAnsi="Georgia" w:cstheme="minorHAnsi"/>
                <w:sz w:val="20"/>
                <w:szCs w:val="20"/>
              </w:rPr>
              <w:t xml:space="preserve">0</w:t>
            </w:r>
            <w:r>
              <w:rPr>
                <w:rFonts w:ascii="Georgia" w:hAnsi="Georgia" w:cstheme="minorHAnsi"/>
                <w:sz w:val="20"/>
                <w:szCs w:val="20"/>
              </w:rPr>
            </w:r>
          </w:p>
        </w:tc>
        <w:tc>
          <w:tcPr>
            <w:tcBorders/>
            <w:tcW w:w="1596" w:type="dxa"/>
          </w:tcPr>
          <w:p w14:paraId="1533BE6E" w14:textId="77777777">
            <w:pPr>
              <w:pBdr/>
              <w:spacing/>
              <w:ind/>
              <w:jc w:val="center"/>
              <w:rPr>
                <w:rFonts w:ascii="Georgia" w:hAnsi="Georgia" w:cstheme="minorHAnsi"/>
                <w:sz w:val="20"/>
                <w:szCs w:val="20"/>
              </w:rPr>
            </w:pPr>
            <w:r>
              <w:rPr>
                <w:rFonts w:ascii="Georgia" w:hAnsi="Georgia" w:cstheme="minorHAnsi"/>
                <w:sz w:val="20"/>
                <w:szCs w:val="20"/>
              </w:rPr>
              <w:t xml:space="preserve">0</w:t>
            </w:r>
            <w:r>
              <w:rPr>
                <w:rFonts w:ascii="Georgia" w:hAnsi="Georgia" w:cstheme="minorHAnsi"/>
                <w:sz w:val="20"/>
                <w:szCs w:val="20"/>
              </w:rPr>
            </w:r>
          </w:p>
        </w:tc>
        <w:tc>
          <w:tcPr>
            <w:tcBorders/>
            <w:tcW w:w="1478" w:type="dxa"/>
          </w:tcPr>
          <w:p w14:paraId="7D1D38CE" w14:textId="77777777">
            <w:pPr>
              <w:pBdr/>
              <w:spacing/>
              <w:ind/>
              <w:jc w:val="center"/>
              <w:rPr>
                <w:rFonts w:ascii="Georgia" w:hAnsi="Georgia" w:cstheme="minorHAnsi"/>
                <w:sz w:val="20"/>
                <w:szCs w:val="20"/>
              </w:rPr>
            </w:pPr>
            <w:r>
              <w:rPr>
                <w:rFonts w:ascii="Georgia" w:hAnsi="Georgia" w:cstheme="minorHAnsi"/>
                <w:sz w:val="20"/>
                <w:szCs w:val="20"/>
              </w:rPr>
              <w:t xml:space="preserve">0</w:t>
            </w:r>
            <w:r>
              <w:rPr>
                <w:rFonts w:ascii="Georgia" w:hAnsi="Georgia" w:cstheme="minorHAnsi"/>
                <w:sz w:val="20"/>
                <w:szCs w:val="20"/>
              </w:rPr>
            </w:r>
          </w:p>
        </w:tc>
        <w:tc>
          <w:tcPr>
            <w:tcBorders/>
            <w:tcW w:w="844" w:type="dxa"/>
          </w:tcPr>
          <w:p w14:paraId="6519358A" w14:textId="77777777">
            <w:pPr>
              <w:pBdr/>
              <w:spacing/>
              <w:ind/>
              <w:jc w:val="center"/>
              <w:rPr>
                <w:rFonts w:ascii="Georgia" w:hAnsi="Georgia" w:cstheme="minorHAnsi"/>
                <w:sz w:val="20"/>
                <w:szCs w:val="20"/>
              </w:rPr>
            </w:pPr>
            <w:r>
              <w:rPr>
                <w:rFonts w:ascii="Georgia" w:hAnsi="Georgia" w:cstheme="minorHAnsi"/>
                <w:sz w:val="20"/>
                <w:szCs w:val="20"/>
              </w:rPr>
              <w:t xml:space="preserve">0</w:t>
            </w:r>
            <w:r>
              <w:rPr>
                <w:rFonts w:ascii="Georgia" w:hAnsi="Georgia" w:cstheme="minorHAnsi"/>
                <w:sz w:val="20"/>
                <w:szCs w:val="20"/>
              </w:rPr>
            </w:r>
          </w:p>
        </w:tc>
      </w:tr>
      <w:tr>
        <w:trPr/>
        <w:tc>
          <w:tcPr>
            <w:tcBorders/>
            <w:tcW w:w="1555" w:type="dxa"/>
          </w:tcPr>
          <w:p w14:paraId="793BBFC8" w14:textId="77777777">
            <w:pPr>
              <w:pBdr/>
              <w:spacing/>
              <w:ind/>
              <w:rPr>
                <w:rFonts w:ascii="Georgia" w:hAnsi="Georgia" w:cstheme="minorHAnsi"/>
                <w:sz w:val="20"/>
                <w:szCs w:val="20"/>
              </w:rPr>
            </w:pPr>
            <w:r>
              <w:rPr>
                <w:rFonts w:ascii="Georgia" w:hAnsi="Georgia" w:cstheme="minorHAnsi"/>
                <w:sz w:val="20"/>
                <w:szCs w:val="20"/>
              </w:rPr>
              <w:t xml:space="preserve">Machado</w:t>
            </w:r>
            <w:r>
              <w:rPr>
                <w:rFonts w:ascii="Georgia" w:hAnsi="Georgia" w:cstheme="minorHAnsi"/>
                <w:sz w:val="20"/>
                <w:szCs w:val="20"/>
              </w:rPr>
            </w:r>
          </w:p>
        </w:tc>
        <w:tc>
          <w:tcPr>
            <w:tcBorders/>
            <w:tcW w:w="1417" w:type="dxa"/>
          </w:tcPr>
          <w:p w14:paraId="043944A3" w14:textId="77777777">
            <w:pPr>
              <w:pBdr/>
              <w:spacing/>
              <w:ind/>
              <w:jc w:val="center"/>
              <w:rPr>
                <w:rFonts w:ascii="Georgia" w:hAnsi="Georgia" w:cstheme="minorHAnsi"/>
                <w:sz w:val="20"/>
                <w:szCs w:val="20"/>
              </w:rPr>
            </w:pPr>
            <w:r>
              <w:rPr>
                <w:rFonts w:ascii="Georgia" w:hAnsi="Georgia" w:cstheme="minorHAnsi"/>
                <w:sz w:val="20"/>
                <w:szCs w:val="20"/>
              </w:rPr>
              <w:t xml:space="preserve">0</w:t>
            </w:r>
            <w:r>
              <w:rPr>
                <w:rFonts w:ascii="Georgia" w:hAnsi="Georgia" w:cstheme="minorHAnsi"/>
                <w:sz w:val="20"/>
                <w:szCs w:val="20"/>
              </w:rPr>
            </w:r>
          </w:p>
        </w:tc>
        <w:tc>
          <w:tcPr>
            <w:tcBorders/>
            <w:tcW w:w="1604" w:type="dxa"/>
          </w:tcPr>
          <w:p w14:paraId="240AC0C3" w14:textId="77777777">
            <w:pPr>
              <w:pBdr/>
              <w:spacing/>
              <w:ind/>
              <w:jc w:val="center"/>
              <w:rPr>
                <w:rFonts w:ascii="Georgia" w:hAnsi="Georgia" w:cstheme="minorHAnsi"/>
                <w:sz w:val="20"/>
                <w:szCs w:val="20"/>
              </w:rPr>
            </w:pPr>
            <w:r>
              <w:rPr>
                <w:rFonts w:ascii="Georgia" w:hAnsi="Georgia" w:cstheme="minorHAnsi"/>
                <w:sz w:val="20"/>
                <w:szCs w:val="20"/>
              </w:rPr>
              <w:t xml:space="preserve">2</w:t>
            </w:r>
            <w:r>
              <w:rPr>
                <w:rFonts w:ascii="Georgia" w:hAnsi="Georgia" w:cstheme="minorHAnsi"/>
                <w:sz w:val="20"/>
                <w:szCs w:val="20"/>
              </w:rPr>
            </w:r>
          </w:p>
        </w:tc>
        <w:tc>
          <w:tcPr>
            <w:tcBorders/>
            <w:tcW w:w="1596" w:type="dxa"/>
          </w:tcPr>
          <w:p w14:paraId="4B91BE5F" w14:textId="77777777">
            <w:pPr>
              <w:pBdr/>
              <w:spacing/>
              <w:ind/>
              <w:jc w:val="center"/>
              <w:rPr>
                <w:rFonts w:ascii="Georgia" w:hAnsi="Georgia" w:cstheme="minorHAnsi"/>
                <w:sz w:val="20"/>
                <w:szCs w:val="20"/>
              </w:rPr>
            </w:pPr>
            <w:r>
              <w:rPr>
                <w:rFonts w:ascii="Georgia" w:hAnsi="Georgia" w:cstheme="minorHAnsi"/>
                <w:sz w:val="20"/>
                <w:szCs w:val="20"/>
              </w:rPr>
              <w:t xml:space="preserve">0</w:t>
            </w:r>
            <w:r>
              <w:rPr>
                <w:rFonts w:ascii="Georgia" w:hAnsi="Georgia" w:cstheme="minorHAnsi"/>
                <w:sz w:val="20"/>
                <w:szCs w:val="20"/>
              </w:rPr>
            </w:r>
          </w:p>
        </w:tc>
        <w:tc>
          <w:tcPr>
            <w:tcBorders/>
            <w:tcW w:w="1478" w:type="dxa"/>
          </w:tcPr>
          <w:p w14:paraId="314131EE" w14:textId="77777777">
            <w:pPr>
              <w:pBdr/>
              <w:spacing/>
              <w:ind/>
              <w:jc w:val="center"/>
              <w:rPr>
                <w:rFonts w:ascii="Georgia" w:hAnsi="Georgia" w:cstheme="minorHAnsi"/>
                <w:sz w:val="20"/>
                <w:szCs w:val="20"/>
              </w:rPr>
            </w:pPr>
            <w:r>
              <w:rPr>
                <w:rFonts w:ascii="Georgia" w:hAnsi="Georgia" w:cstheme="minorHAnsi"/>
                <w:sz w:val="20"/>
                <w:szCs w:val="20"/>
              </w:rPr>
              <w:t xml:space="preserve">0</w:t>
            </w:r>
            <w:r>
              <w:rPr>
                <w:rFonts w:ascii="Georgia" w:hAnsi="Georgia" w:cstheme="minorHAnsi"/>
                <w:sz w:val="20"/>
                <w:szCs w:val="20"/>
              </w:rPr>
            </w:r>
          </w:p>
        </w:tc>
        <w:tc>
          <w:tcPr>
            <w:tcBorders/>
            <w:tcW w:w="844" w:type="dxa"/>
          </w:tcPr>
          <w:p w14:paraId="2D25551F" w14:textId="77777777">
            <w:pPr>
              <w:pBdr/>
              <w:spacing/>
              <w:ind/>
              <w:jc w:val="center"/>
              <w:rPr>
                <w:rFonts w:ascii="Georgia" w:hAnsi="Georgia" w:cstheme="minorHAnsi"/>
                <w:sz w:val="20"/>
                <w:szCs w:val="20"/>
              </w:rPr>
            </w:pPr>
            <w:r>
              <w:rPr>
                <w:rFonts w:ascii="Georgia" w:hAnsi="Georgia" w:cstheme="minorHAnsi"/>
                <w:sz w:val="20"/>
                <w:szCs w:val="20"/>
              </w:rPr>
              <w:t xml:space="preserve">2</w:t>
            </w:r>
            <w:r>
              <w:rPr>
                <w:rFonts w:ascii="Georgia" w:hAnsi="Georgia" w:cstheme="minorHAnsi"/>
                <w:sz w:val="20"/>
                <w:szCs w:val="20"/>
              </w:rPr>
            </w:r>
          </w:p>
        </w:tc>
      </w:tr>
      <w:tr>
        <w:trPr/>
        <w:tc>
          <w:tcPr>
            <w:tcBorders/>
            <w:tcW w:w="1555" w:type="dxa"/>
          </w:tcPr>
          <w:p w14:paraId="76A153C0" w14:textId="77777777">
            <w:pPr>
              <w:pBdr/>
              <w:spacing/>
              <w:ind/>
              <w:rPr>
                <w:rFonts w:ascii="Georgia" w:hAnsi="Georgia" w:cstheme="minorHAnsi"/>
                <w:sz w:val="20"/>
                <w:szCs w:val="20"/>
              </w:rPr>
            </w:pPr>
            <w:r>
              <w:rPr>
                <w:rFonts w:ascii="Georgia" w:hAnsi="Georgia" w:cstheme="minorHAnsi"/>
                <w:sz w:val="20"/>
                <w:szCs w:val="20"/>
              </w:rPr>
              <w:t xml:space="preserve">Paraguaçu</w:t>
            </w:r>
            <w:r>
              <w:rPr>
                <w:rFonts w:ascii="Georgia" w:hAnsi="Georgia" w:cstheme="minorHAnsi"/>
                <w:sz w:val="20"/>
                <w:szCs w:val="20"/>
              </w:rPr>
            </w:r>
          </w:p>
        </w:tc>
        <w:tc>
          <w:tcPr>
            <w:tcBorders/>
            <w:tcW w:w="1417" w:type="dxa"/>
          </w:tcPr>
          <w:p w14:paraId="2616F472" w14:textId="77777777">
            <w:pPr>
              <w:pBdr/>
              <w:spacing/>
              <w:ind/>
              <w:jc w:val="center"/>
              <w:rPr>
                <w:rFonts w:ascii="Georgia" w:hAnsi="Georgia" w:cstheme="minorHAnsi"/>
                <w:sz w:val="20"/>
                <w:szCs w:val="20"/>
              </w:rPr>
            </w:pPr>
            <w:r>
              <w:rPr>
                <w:rFonts w:ascii="Georgia" w:hAnsi="Georgia" w:cstheme="minorHAnsi"/>
                <w:sz w:val="20"/>
                <w:szCs w:val="20"/>
              </w:rPr>
              <w:t xml:space="preserve">0</w:t>
            </w:r>
            <w:r>
              <w:rPr>
                <w:rFonts w:ascii="Georgia" w:hAnsi="Georgia" w:cstheme="minorHAnsi"/>
                <w:sz w:val="20"/>
                <w:szCs w:val="20"/>
              </w:rPr>
            </w:r>
          </w:p>
        </w:tc>
        <w:tc>
          <w:tcPr>
            <w:tcBorders/>
            <w:tcW w:w="1604" w:type="dxa"/>
          </w:tcPr>
          <w:p w14:paraId="59AC9174" w14:textId="77777777">
            <w:pPr>
              <w:pBdr/>
              <w:spacing/>
              <w:ind/>
              <w:jc w:val="center"/>
              <w:rPr>
                <w:rFonts w:ascii="Georgia" w:hAnsi="Georgia" w:cstheme="minorHAnsi"/>
                <w:sz w:val="20"/>
                <w:szCs w:val="20"/>
              </w:rPr>
            </w:pPr>
            <w:r>
              <w:rPr>
                <w:rFonts w:ascii="Georgia" w:hAnsi="Georgia" w:cstheme="minorHAnsi"/>
                <w:sz w:val="20"/>
                <w:szCs w:val="20"/>
              </w:rPr>
              <w:t xml:space="preserve">0</w:t>
            </w:r>
            <w:r>
              <w:rPr>
                <w:rFonts w:ascii="Georgia" w:hAnsi="Georgia" w:cstheme="minorHAnsi"/>
                <w:sz w:val="20"/>
                <w:szCs w:val="20"/>
              </w:rPr>
            </w:r>
          </w:p>
        </w:tc>
        <w:tc>
          <w:tcPr>
            <w:tcBorders/>
            <w:tcW w:w="1596" w:type="dxa"/>
          </w:tcPr>
          <w:p w14:paraId="4C54F963" w14:textId="77777777">
            <w:pPr>
              <w:pBdr/>
              <w:spacing/>
              <w:ind/>
              <w:jc w:val="center"/>
              <w:rPr>
                <w:rFonts w:ascii="Georgia" w:hAnsi="Georgia" w:cstheme="minorHAnsi"/>
                <w:sz w:val="20"/>
                <w:szCs w:val="20"/>
              </w:rPr>
            </w:pPr>
            <w:r>
              <w:rPr>
                <w:rFonts w:ascii="Georgia" w:hAnsi="Georgia" w:cstheme="minorHAnsi"/>
                <w:sz w:val="20"/>
                <w:szCs w:val="20"/>
              </w:rPr>
              <w:t xml:space="preserve">0</w:t>
            </w:r>
            <w:r>
              <w:rPr>
                <w:rFonts w:ascii="Georgia" w:hAnsi="Georgia" w:cstheme="minorHAnsi"/>
                <w:sz w:val="20"/>
                <w:szCs w:val="20"/>
              </w:rPr>
            </w:r>
          </w:p>
        </w:tc>
        <w:tc>
          <w:tcPr>
            <w:tcBorders/>
            <w:tcW w:w="1478" w:type="dxa"/>
          </w:tcPr>
          <w:p w14:paraId="72F03A88" w14:textId="77777777">
            <w:pPr>
              <w:pBdr/>
              <w:spacing/>
              <w:ind/>
              <w:jc w:val="center"/>
              <w:rPr>
                <w:rFonts w:ascii="Georgia" w:hAnsi="Georgia" w:cstheme="minorHAnsi"/>
                <w:sz w:val="20"/>
                <w:szCs w:val="20"/>
              </w:rPr>
            </w:pPr>
            <w:r>
              <w:rPr>
                <w:rFonts w:ascii="Georgia" w:hAnsi="Georgia" w:cstheme="minorHAnsi"/>
                <w:sz w:val="20"/>
                <w:szCs w:val="20"/>
              </w:rPr>
              <w:t xml:space="preserve">0</w:t>
            </w:r>
            <w:r>
              <w:rPr>
                <w:rFonts w:ascii="Georgia" w:hAnsi="Georgia" w:cstheme="minorHAnsi"/>
                <w:sz w:val="20"/>
                <w:szCs w:val="20"/>
              </w:rPr>
            </w:r>
          </w:p>
        </w:tc>
        <w:tc>
          <w:tcPr>
            <w:tcBorders/>
            <w:tcW w:w="844" w:type="dxa"/>
          </w:tcPr>
          <w:p w14:paraId="05025F02" w14:textId="77777777">
            <w:pPr>
              <w:pBdr/>
              <w:spacing/>
              <w:ind/>
              <w:jc w:val="center"/>
              <w:rPr>
                <w:rFonts w:ascii="Georgia" w:hAnsi="Georgia" w:cstheme="minorHAnsi"/>
                <w:sz w:val="20"/>
                <w:szCs w:val="20"/>
              </w:rPr>
            </w:pPr>
            <w:r>
              <w:rPr>
                <w:rFonts w:ascii="Georgia" w:hAnsi="Georgia" w:cstheme="minorHAnsi"/>
                <w:sz w:val="20"/>
                <w:szCs w:val="20"/>
              </w:rPr>
              <w:t xml:space="preserve">0</w:t>
            </w:r>
            <w:r>
              <w:rPr>
                <w:rFonts w:ascii="Georgia" w:hAnsi="Georgia" w:cstheme="minorHAnsi"/>
                <w:sz w:val="20"/>
                <w:szCs w:val="20"/>
              </w:rPr>
            </w:r>
          </w:p>
        </w:tc>
      </w:tr>
      <w:tr>
        <w:trPr/>
        <w:tc>
          <w:tcPr>
            <w:tcBorders/>
            <w:tcW w:w="1555" w:type="dxa"/>
          </w:tcPr>
          <w:p w14:paraId="6BDBBE6C" w14:textId="77777777">
            <w:pPr>
              <w:pBdr/>
              <w:spacing/>
              <w:ind/>
              <w:rPr>
                <w:rFonts w:ascii="Georgia" w:hAnsi="Georgia" w:cstheme="minorHAnsi"/>
                <w:sz w:val="20"/>
                <w:szCs w:val="20"/>
              </w:rPr>
            </w:pPr>
            <w:r>
              <w:rPr>
                <w:rFonts w:ascii="Georgia" w:hAnsi="Georgia" w:cstheme="minorHAnsi"/>
                <w:sz w:val="20"/>
                <w:szCs w:val="20"/>
              </w:rPr>
              <w:t xml:space="preserve">Poço Fundo </w:t>
            </w:r>
            <w:r>
              <w:rPr>
                <w:rFonts w:ascii="Georgia" w:hAnsi="Georgia" w:cstheme="minorHAnsi"/>
                <w:sz w:val="20"/>
                <w:szCs w:val="20"/>
              </w:rPr>
            </w:r>
          </w:p>
        </w:tc>
        <w:tc>
          <w:tcPr>
            <w:tcBorders/>
            <w:tcW w:w="1417" w:type="dxa"/>
          </w:tcPr>
          <w:p w14:paraId="682535E2" w14:textId="77777777">
            <w:pPr>
              <w:pBdr/>
              <w:spacing/>
              <w:ind/>
              <w:jc w:val="center"/>
              <w:rPr>
                <w:rFonts w:ascii="Georgia" w:hAnsi="Georgia" w:cstheme="minorHAnsi"/>
                <w:sz w:val="20"/>
                <w:szCs w:val="20"/>
              </w:rPr>
            </w:pPr>
            <w:r>
              <w:rPr>
                <w:rFonts w:ascii="Georgia" w:hAnsi="Georgia" w:cstheme="minorHAnsi"/>
                <w:sz w:val="20"/>
                <w:szCs w:val="20"/>
              </w:rPr>
              <w:t xml:space="preserve">0</w:t>
            </w:r>
            <w:r>
              <w:rPr>
                <w:rFonts w:ascii="Georgia" w:hAnsi="Georgia" w:cstheme="minorHAnsi"/>
                <w:sz w:val="20"/>
                <w:szCs w:val="20"/>
              </w:rPr>
            </w:r>
          </w:p>
        </w:tc>
        <w:tc>
          <w:tcPr>
            <w:tcBorders/>
            <w:tcW w:w="1604" w:type="dxa"/>
          </w:tcPr>
          <w:p w14:paraId="76911AA8" w14:textId="77777777">
            <w:pPr>
              <w:pBdr/>
              <w:spacing/>
              <w:ind/>
              <w:jc w:val="center"/>
              <w:rPr>
                <w:rFonts w:ascii="Georgia" w:hAnsi="Georgia" w:cstheme="minorHAnsi"/>
                <w:sz w:val="20"/>
                <w:szCs w:val="20"/>
              </w:rPr>
            </w:pPr>
            <w:r>
              <w:rPr>
                <w:rFonts w:ascii="Georgia" w:hAnsi="Georgia" w:cstheme="minorHAnsi"/>
                <w:sz w:val="20"/>
                <w:szCs w:val="20"/>
              </w:rPr>
              <w:t xml:space="preserve">0</w:t>
            </w:r>
            <w:r>
              <w:rPr>
                <w:rFonts w:ascii="Georgia" w:hAnsi="Georgia" w:cstheme="minorHAnsi"/>
                <w:sz w:val="20"/>
                <w:szCs w:val="20"/>
              </w:rPr>
            </w:r>
          </w:p>
        </w:tc>
        <w:tc>
          <w:tcPr>
            <w:tcBorders/>
            <w:tcW w:w="1596" w:type="dxa"/>
          </w:tcPr>
          <w:p w14:paraId="37B88D07" w14:textId="77777777">
            <w:pPr>
              <w:pBdr/>
              <w:spacing/>
              <w:ind/>
              <w:jc w:val="center"/>
              <w:rPr>
                <w:rFonts w:ascii="Georgia" w:hAnsi="Georgia" w:cstheme="minorHAnsi"/>
                <w:sz w:val="20"/>
                <w:szCs w:val="20"/>
              </w:rPr>
            </w:pPr>
            <w:r>
              <w:rPr>
                <w:rFonts w:ascii="Georgia" w:hAnsi="Georgia" w:cstheme="minorHAnsi"/>
                <w:sz w:val="20"/>
                <w:szCs w:val="20"/>
              </w:rPr>
              <w:t xml:space="preserve">0</w:t>
            </w:r>
            <w:r>
              <w:rPr>
                <w:rFonts w:ascii="Georgia" w:hAnsi="Georgia" w:cstheme="minorHAnsi"/>
                <w:sz w:val="20"/>
                <w:szCs w:val="20"/>
              </w:rPr>
            </w:r>
          </w:p>
        </w:tc>
        <w:tc>
          <w:tcPr>
            <w:tcBorders/>
            <w:tcW w:w="1478" w:type="dxa"/>
          </w:tcPr>
          <w:p w14:paraId="3E0711E5" w14:textId="77777777">
            <w:pPr>
              <w:pBdr/>
              <w:spacing/>
              <w:ind/>
              <w:jc w:val="center"/>
              <w:rPr>
                <w:rFonts w:ascii="Georgia" w:hAnsi="Georgia" w:cstheme="minorHAnsi"/>
                <w:sz w:val="20"/>
                <w:szCs w:val="20"/>
              </w:rPr>
            </w:pPr>
            <w:r>
              <w:rPr>
                <w:rFonts w:ascii="Georgia" w:hAnsi="Georgia" w:cstheme="minorHAnsi"/>
                <w:sz w:val="20"/>
                <w:szCs w:val="20"/>
              </w:rPr>
              <w:t xml:space="preserve">0</w:t>
            </w:r>
            <w:r>
              <w:rPr>
                <w:rFonts w:ascii="Georgia" w:hAnsi="Georgia" w:cstheme="minorHAnsi"/>
                <w:sz w:val="20"/>
                <w:szCs w:val="20"/>
              </w:rPr>
            </w:r>
          </w:p>
        </w:tc>
        <w:tc>
          <w:tcPr>
            <w:tcBorders/>
            <w:tcW w:w="844" w:type="dxa"/>
          </w:tcPr>
          <w:p w14:paraId="30465B8E" w14:textId="77777777">
            <w:pPr>
              <w:pBdr/>
              <w:spacing/>
              <w:ind/>
              <w:jc w:val="center"/>
              <w:rPr>
                <w:rFonts w:ascii="Georgia" w:hAnsi="Georgia" w:cstheme="minorHAnsi"/>
                <w:sz w:val="20"/>
                <w:szCs w:val="20"/>
              </w:rPr>
            </w:pPr>
            <w:r>
              <w:rPr>
                <w:rFonts w:ascii="Georgia" w:hAnsi="Georgia" w:cstheme="minorHAnsi"/>
                <w:sz w:val="20"/>
                <w:szCs w:val="20"/>
              </w:rPr>
              <w:t xml:space="preserve">0</w:t>
            </w:r>
            <w:r>
              <w:rPr>
                <w:rFonts w:ascii="Georgia" w:hAnsi="Georgia" w:cstheme="minorHAnsi"/>
                <w:sz w:val="20"/>
                <w:szCs w:val="20"/>
              </w:rPr>
            </w:r>
          </w:p>
        </w:tc>
      </w:tr>
      <w:tr>
        <w:trPr/>
        <w:tc>
          <w:tcPr>
            <w:tcBorders/>
            <w:tcW w:w="1555" w:type="dxa"/>
          </w:tcPr>
          <w:p w14:paraId="40F30404" w14:textId="77777777">
            <w:pPr>
              <w:pBdr/>
              <w:spacing/>
              <w:ind/>
              <w:rPr>
                <w:rFonts w:ascii="Georgia" w:hAnsi="Georgia" w:cstheme="minorHAnsi"/>
                <w:sz w:val="20"/>
                <w:szCs w:val="20"/>
              </w:rPr>
            </w:pPr>
            <w:r>
              <w:rPr>
                <w:rFonts w:ascii="Georgia" w:hAnsi="Georgia" w:cstheme="minorHAnsi"/>
                <w:sz w:val="20"/>
                <w:szCs w:val="20"/>
              </w:rPr>
              <w:t xml:space="preserve">Serrania</w:t>
            </w:r>
            <w:r>
              <w:rPr>
                <w:rFonts w:ascii="Georgia" w:hAnsi="Georgia" w:cstheme="minorHAnsi"/>
                <w:sz w:val="20"/>
                <w:szCs w:val="20"/>
              </w:rPr>
            </w:r>
          </w:p>
        </w:tc>
        <w:tc>
          <w:tcPr>
            <w:tcBorders/>
            <w:tcW w:w="1417" w:type="dxa"/>
          </w:tcPr>
          <w:p w14:paraId="45EDED49" w14:textId="77777777">
            <w:pPr>
              <w:pBdr/>
              <w:spacing/>
              <w:ind/>
              <w:jc w:val="center"/>
              <w:rPr>
                <w:rFonts w:ascii="Georgia" w:hAnsi="Georgia" w:cstheme="minorHAnsi"/>
                <w:sz w:val="20"/>
                <w:szCs w:val="20"/>
              </w:rPr>
            </w:pPr>
            <w:r>
              <w:rPr>
                <w:rFonts w:ascii="Georgia" w:hAnsi="Georgia" w:cstheme="minorHAnsi"/>
                <w:sz w:val="20"/>
                <w:szCs w:val="20"/>
              </w:rPr>
              <w:t xml:space="preserve">0</w:t>
            </w:r>
            <w:r>
              <w:rPr>
                <w:rFonts w:ascii="Georgia" w:hAnsi="Georgia" w:cstheme="minorHAnsi"/>
                <w:sz w:val="20"/>
                <w:szCs w:val="20"/>
              </w:rPr>
            </w:r>
          </w:p>
        </w:tc>
        <w:tc>
          <w:tcPr>
            <w:tcBorders/>
            <w:tcW w:w="1604" w:type="dxa"/>
          </w:tcPr>
          <w:p w14:paraId="53B4EF92" w14:textId="77777777">
            <w:pPr>
              <w:pBdr/>
              <w:spacing/>
              <w:ind/>
              <w:jc w:val="center"/>
              <w:rPr>
                <w:rFonts w:ascii="Georgia" w:hAnsi="Georgia" w:cstheme="minorHAnsi"/>
                <w:sz w:val="20"/>
                <w:szCs w:val="20"/>
              </w:rPr>
            </w:pPr>
            <w:r>
              <w:rPr>
                <w:rFonts w:ascii="Georgia" w:hAnsi="Georgia" w:cstheme="minorHAnsi"/>
                <w:sz w:val="20"/>
                <w:szCs w:val="20"/>
              </w:rPr>
              <w:t xml:space="preserve">0</w:t>
            </w:r>
            <w:r>
              <w:rPr>
                <w:rFonts w:ascii="Georgia" w:hAnsi="Georgia" w:cstheme="minorHAnsi"/>
                <w:sz w:val="20"/>
                <w:szCs w:val="20"/>
              </w:rPr>
            </w:r>
          </w:p>
        </w:tc>
        <w:tc>
          <w:tcPr>
            <w:tcBorders/>
            <w:tcW w:w="1596" w:type="dxa"/>
          </w:tcPr>
          <w:p w14:paraId="5F579D03" w14:textId="77777777">
            <w:pPr>
              <w:pBdr/>
              <w:spacing/>
              <w:ind/>
              <w:jc w:val="center"/>
              <w:rPr>
                <w:rFonts w:ascii="Georgia" w:hAnsi="Georgia" w:cstheme="minorHAnsi"/>
                <w:sz w:val="20"/>
                <w:szCs w:val="20"/>
              </w:rPr>
            </w:pPr>
            <w:r>
              <w:rPr>
                <w:rFonts w:ascii="Georgia" w:hAnsi="Georgia" w:cstheme="minorHAnsi"/>
                <w:sz w:val="20"/>
                <w:szCs w:val="20"/>
              </w:rPr>
              <w:t xml:space="preserve">0</w:t>
            </w:r>
            <w:r>
              <w:rPr>
                <w:rFonts w:ascii="Georgia" w:hAnsi="Georgia" w:cstheme="minorHAnsi"/>
                <w:sz w:val="20"/>
                <w:szCs w:val="20"/>
              </w:rPr>
            </w:r>
          </w:p>
        </w:tc>
        <w:tc>
          <w:tcPr>
            <w:tcBorders/>
            <w:tcW w:w="1478" w:type="dxa"/>
          </w:tcPr>
          <w:p w14:paraId="3F2F6849" w14:textId="77777777">
            <w:pPr>
              <w:pBdr/>
              <w:spacing/>
              <w:ind/>
              <w:jc w:val="center"/>
              <w:rPr>
                <w:rFonts w:ascii="Georgia" w:hAnsi="Georgia" w:cstheme="minorHAnsi"/>
                <w:sz w:val="20"/>
                <w:szCs w:val="20"/>
              </w:rPr>
            </w:pPr>
            <w:r>
              <w:rPr>
                <w:rFonts w:ascii="Georgia" w:hAnsi="Georgia" w:cstheme="minorHAnsi"/>
                <w:sz w:val="20"/>
                <w:szCs w:val="20"/>
              </w:rPr>
              <w:t xml:space="preserve">0</w:t>
            </w:r>
            <w:r>
              <w:rPr>
                <w:rFonts w:ascii="Georgia" w:hAnsi="Georgia" w:cstheme="minorHAnsi"/>
                <w:sz w:val="20"/>
                <w:szCs w:val="20"/>
              </w:rPr>
            </w:r>
          </w:p>
        </w:tc>
        <w:tc>
          <w:tcPr>
            <w:tcBorders/>
            <w:tcW w:w="844" w:type="dxa"/>
          </w:tcPr>
          <w:p w14:paraId="18C09D73" w14:textId="77777777">
            <w:pPr>
              <w:pBdr/>
              <w:spacing/>
              <w:ind/>
              <w:jc w:val="center"/>
              <w:rPr>
                <w:rFonts w:ascii="Georgia" w:hAnsi="Georgia" w:cstheme="minorHAnsi"/>
                <w:sz w:val="20"/>
                <w:szCs w:val="20"/>
              </w:rPr>
            </w:pPr>
            <w:r>
              <w:rPr>
                <w:rFonts w:ascii="Georgia" w:hAnsi="Georgia" w:cstheme="minorHAnsi"/>
                <w:sz w:val="20"/>
                <w:szCs w:val="20"/>
              </w:rPr>
              <w:t xml:space="preserve">0</w:t>
            </w:r>
            <w:r>
              <w:rPr>
                <w:rFonts w:ascii="Georgia" w:hAnsi="Georgia" w:cstheme="minorHAnsi"/>
                <w:sz w:val="20"/>
                <w:szCs w:val="20"/>
              </w:rPr>
            </w:r>
          </w:p>
        </w:tc>
      </w:tr>
    </w:tbl>
    <w:p w14:paraId="72988089" w14:textId="77777777">
      <w:pPr>
        <w:pBdr/>
        <w:spacing w:after="0" w:line="240" w:lineRule="auto"/>
        <w:ind/>
        <w:jc w:val="center"/>
        <w:rPr>
          <w:rFonts w:ascii="Georgia" w:hAnsi="Georgia" w:cstheme="minorHAnsi"/>
          <w:sz w:val="20"/>
          <w:szCs w:val="20"/>
        </w:rPr>
      </w:pPr>
      <w:r>
        <w:rPr>
          <w:rFonts w:ascii="Georgia" w:hAnsi="Georgia" w:cstheme="minorHAnsi"/>
          <w:sz w:val="20"/>
          <w:szCs w:val="20"/>
        </w:rPr>
      </w:r>
      <w:r>
        <w:rPr>
          <w:rFonts w:ascii="Georgia" w:hAnsi="Georgia" w:cstheme="minorHAnsi"/>
          <w:sz w:val="20"/>
          <w:szCs w:val="20"/>
        </w:rPr>
      </w:r>
    </w:p>
    <w:p w14:paraId="06F161B4" w14:textId="5F87EBCC">
      <w:pPr>
        <w:pBdr/>
        <w:spacing w:after="0" w:line="240" w:lineRule="auto"/>
        <w:ind/>
        <w:jc w:val="center"/>
        <w:rPr>
          <w:rFonts w:ascii="Georgia" w:hAnsi="Georgia" w:cstheme="minorHAnsi"/>
          <w:sz w:val="20"/>
          <w:szCs w:val="20"/>
        </w:rPr>
      </w:pPr>
      <w:r>
        <w:rPr>
          <w:rFonts w:ascii="Georgia" w:hAnsi="Georgia" w:cstheme="minorHAnsi"/>
          <w:sz w:val="20"/>
          <w:szCs w:val="20"/>
        </w:rPr>
        <w:t xml:space="preserve">Fonte: Ministério da Saúde, Cadastro Nacional dos Estabelecimentos de Saúde do Brasil - CNES</w:t>
      </w:r>
      <w:r>
        <w:rPr>
          <w:rFonts w:ascii="Georgia" w:hAnsi="Georgia" w:cstheme="minorHAnsi"/>
          <w:sz w:val="20"/>
          <w:szCs w:val="20"/>
        </w:rPr>
      </w:r>
    </w:p>
    <w:p w14:paraId="753DD855" w14:textId="77777777">
      <w:pPr>
        <w:pBdr/>
        <w:spacing w:after="0" w:line="240" w:lineRule="auto"/>
        <w:ind/>
        <w:jc w:val="center"/>
        <w:rPr>
          <w:rFonts w:ascii="Georgia" w:hAnsi="Georgia" w:cstheme="minorHAnsi"/>
          <w:sz w:val="20"/>
          <w:szCs w:val="20"/>
        </w:rPr>
      </w:pPr>
      <w:r>
        <w:rPr>
          <w:rFonts w:ascii="Georgia" w:hAnsi="Georgia" w:cstheme="minorHAnsi"/>
          <w:sz w:val="20"/>
          <w:szCs w:val="20"/>
        </w:rPr>
        <w:t xml:space="preserve">Elaboração: Alan Riedel, 2024.</w:t>
      </w:r>
      <w:r>
        <w:rPr>
          <w:rFonts w:ascii="Georgia" w:hAnsi="Georgia" w:cstheme="minorHAnsi"/>
          <w:sz w:val="20"/>
          <w:szCs w:val="20"/>
        </w:rPr>
      </w:r>
    </w:p>
    <w:p w14:paraId="722605E0" w14:textId="77777777">
      <w:pPr>
        <w:pBdr/>
        <w:spacing w:after="0" w:line="240" w:lineRule="auto"/>
        <w:ind/>
        <w:jc w:val="center"/>
        <w:rPr>
          <w:rFonts w:ascii="Georgia" w:hAnsi="Georgia" w:cstheme="minorHAnsi"/>
          <w:sz w:val="20"/>
          <w:szCs w:val="20"/>
        </w:rPr>
      </w:pPr>
      <w:r>
        <w:rPr>
          <w:rFonts w:ascii="Georgia" w:hAnsi="Georgia" w:cstheme="minorHAnsi"/>
          <w:sz w:val="20"/>
          <w:szCs w:val="20"/>
        </w:rPr>
      </w:r>
      <w:r>
        <w:rPr>
          <w:rFonts w:ascii="Georgia" w:hAnsi="Georgia" w:cstheme="minorHAnsi"/>
          <w:sz w:val="20"/>
          <w:szCs w:val="20"/>
        </w:rPr>
      </w:r>
    </w:p>
    <w:p w14:paraId="51ADC62E" w14:textId="0F572A18">
      <w:pPr>
        <w:pBdr/>
        <w:spacing w:after="120" w:line="360" w:lineRule="auto"/>
        <w:ind w:firstLine="700"/>
        <w:jc w:val="both"/>
        <w:rPr>
          <w:rFonts w:ascii="Georgia" w:hAnsi="Georgia" w:cstheme="minorHAnsi"/>
          <w:sz w:val="24"/>
          <w:szCs w:val="24"/>
        </w:rPr>
      </w:pPr>
      <w:r>
        <w:rPr>
          <w:rFonts w:ascii="Georgia" w:hAnsi="Georgia" w:cstheme="minorHAnsi"/>
          <w:sz w:val="24"/>
          <w:szCs w:val="24"/>
        </w:rPr>
        <w:t xml:space="preserve">De acordo com o levantamento </w:t>
      </w:r>
      <w:r>
        <w:rPr>
          <w:rFonts w:ascii="Georgia" w:hAnsi="Georgia" w:cstheme="minorHAnsi"/>
          <w:i/>
          <w:iCs/>
          <w:sz w:val="24"/>
          <w:szCs w:val="24"/>
        </w:rPr>
        <w:t xml:space="preserve">Regiões de influência das cidades</w:t>
      </w:r>
      <w:r>
        <w:rPr>
          <w:rFonts w:ascii="Georgia" w:hAnsi="Georgia" w:cstheme="minorHAnsi"/>
          <w:sz w:val="24"/>
          <w:szCs w:val="24"/>
        </w:rPr>
        <w:t xml:space="preserve"> (IBGE, 2020), com relação aos deslocamentos à procura de serviços de saúde, Alfenas ocupa uma posição de destaque regional. Para os deslocamentos de baixa e média complexidade, centraliza 21 municípios</w:t>
      </w:r>
      <w:r>
        <w:rPr>
          <w:rFonts w:ascii="Georgia" w:hAnsi="Georgia" w:cstheme="minorHAnsi"/>
          <w:sz w:val="24"/>
          <w:szCs w:val="24"/>
        </w:rPr>
        <w:t xml:space="preserve">, sendo dezessete de primeira ordem, dois de segunda ordem e três de terceira ordem, enquanto que os deslocamentos de alta complexidade, centraliza 20 municípios, sendo dezoito de primeira ordem, dois de segunda ordem e nenhum de terceira ordem (Figura 5).</w:t>
      </w:r>
      <w:r>
        <w:rPr>
          <w:rFonts w:ascii="Georgia" w:hAnsi="Georgia" w:cstheme="minorHAnsi"/>
          <w:sz w:val="24"/>
          <w:szCs w:val="24"/>
        </w:rPr>
      </w:r>
    </w:p>
    <w:p w14:paraId="2550ED7E" w14:textId="7244E85D">
      <w:pPr>
        <w:pBdr/>
        <w:spacing w:after="120" w:line="240" w:lineRule="auto"/>
        <w:ind/>
        <w:jc w:val="center"/>
        <w:rPr>
          <w:rFonts w:ascii="Georgia" w:hAnsi="Georgia" w:cstheme="minorHAnsi"/>
          <w:b/>
          <w:sz w:val="24"/>
          <w:szCs w:val="24"/>
        </w:rPr>
      </w:pPr>
      <w:r>
        <w:rPr>
          <w:rFonts w:ascii="Georgia" w:hAnsi="Georgia" w:cstheme="minorHAnsi"/>
          <w:b/>
          <w:sz w:val="24"/>
          <w:szCs w:val="24"/>
        </w:rPr>
        <w:t xml:space="preserve">Figura 5 </w:t>
      </w:r>
      <w:r>
        <w:rPr>
          <w:rFonts w:ascii="Georgia" w:hAnsi="Georgia" w:cstheme="minorHAnsi"/>
          <w:bCs/>
          <w:sz w:val="24"/>
          <w:szCs w:val="24"/>
        </w:rPr>
        <w:t xml:space="preserve">– Deslocamentos de saúde de alta complexidade na Região de Alfenas, 2018</w:t>
      </w:r>
      <w:r>
        <w:rPr>
          <w:rFonts w:ascii="Georgia" w:hAnsi="Georgia" w:cstheme="minorHAnsi"/>
          <w:b/>
          <w:sz w:val="24"/>
          <w:szCs w:val="24"/>
        </w:rPr>
      </w:r>
    </w:p>
    <w:p w14:paraId="2CB3B299" w14:textId="77777777">
      <w:pPr>
        <w:pBdr/>
        <w:spacing w:after="120" w:line="360" w:lineRule="auto"/>
        <w:ind/>
        <w:jc w:val="center"/>
        <w:rPr>
          <w:rFonts w:ascii="Georgia" w:hAnsi="Georgia" w:cstheme="minorHAnsi"/>
          <w:b/>
          <w:sz w:val="24"/>
          <w:szCs w:val="24"/>
        </w:rPr>
      </w:pPr>
      <w:r>
        <w:rPr>
          <w:rFonts w:ascii="Georgia" w:hAnsi="Georgia" w:cstheme="minorHAnsi"/>
          <w:b/>
          <w:sz w:val="24"/>
          <w:szCs w:val="24"/>
        </w:rPr>
        <mc:AlternateContent>
          <mc:Choice Requires="wpg">
            <w:drawing>
              <wp:inline xmlns:wp="http://schemas.openxmlformats.org/drawingml/2006/wordprocessingDrawing" distT="0" distB="0" distL="0" distR="0">
                <wp:extent cx="5044440" cy="2049780"/>
                <wp:effectExtent l="0" t="0" r="3810" b="7620"/>
                <wp:docPr id="10" name="image16.jpg"/>
                <wp:cNvGraphicFramePr/>
                <a:graphic xmlns:a="http://schemas.openxmlformats.org/drawingml/2006/main">
                  <a:graphicData uri="http://schemas.openxmlformats.org/drawingml/2006/picture">
                    <pic:pic xmlns:pic="http://schemas.openxmlformats.org/drawingml/2006/picture">
                      <pic:nvPicPr>
                        <pic:cNvPr id="0" name="image16.jpg"/>
                        <pic:cNvPicPr/>
                        <pic:nvPr/>
                      </pic:nvPicPr>
                      <pic:blipFill rotWithShape="1">
                        <a:blip r:embed="rId16"/>
                        <a:stretch/>
                      </pic:blipFill>
                      <pic:spPr bwMode="auto">
                        <a:xfrm>
                          <a:off x="0" y="0"/>
                          <a:ext cx="5044440" cy="2049780"/>
                        </a:xfrm>
                        <a:prstGeom prst="rect">
                          <a:avLst/>
                        </a:prstGeom>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397.20pt;height:161.40pt;mso-wrap-distance-left:0.00pt;mso-wrap-distance-top:0.00pt;mso-wrap-distance-right:0.00pt;mso-wrap-distance-bottom:0.00pt;z-index:1;">
                <v:imagedata r:id="rId16" o:title=""/>
                <o:lock v:ext="edit" rotation="t"/>
              </v:shape>
            </w:pict>
          </mc:Fallback>
        </mc:AlternateContent>
      </w:r>
      <w:r>
        <w:rPr>
          <w:rFonts w:ascii="Georgia" w:hAnsi="Georgia" w:cstheme="minorHAnsi"/>
          <w:b/>
          <w:sz w:val="24"/>
          <w:szCs w:val="24"/>
        </w:rPr>
      </w:r>
    </w:p>
    <w:p w14:paraId="04D7576D" w14:textId="77777777">
      <w:pPr>
        <w:pBdr/>
        <w:spacing w:after="120" w:line="360" w:lineRule="auto"/>
        <w:ind w:firstLine="700"/>
        <w:jc w:val="center"/>
        <w:rPr>
          <w:rFonts w:ascii="Georgia" w:hAnsi="Georgia" w:cstheme="minorHAnsi"/>
          <w:sz w:val="20"/>
          <w:szCs w:val="20"/>
        </w:rPr>
      </w:pPr>
      <w:r>
        <w:rPr>
          <w:rFonts w:ascii="Georgia" w:hAnsi="Georgia" w:cstheme="minorHAnsi"/>
          <w:sz w:val="20"/>
          <w:szCs w:val="20"/>
        </w:rPr>
        <w:t xml:space="preserve">Fonte: IBGE, 2020.</w:t>
      </w:r>
      <w:r>
        <w:rPr>
          <w:rFonts w:ascii="Georgia" w:hAnsi="Georgia" w:cstheme="minorHAnsi"/>
          <w:sz w:val="20"/>
          <w:szCs w:val="20"/>
        </w:rPr>
      </w:r>
    </w:p>
    <w:p w14:paraId="54419AC8" w14:textId="6A5C5AF3">
      <w:pPr>
        <w:pBdr/>
        <w:spacing w:after="120" w:line="360" w:lineRule="auto"/>
        <w:ind w:firstLine="700"/>
        <w:jc w:val="both"/>
        <w:rPr>
          <w:rFonts w:ascii="Georgia" w:hAnsi="Georgia" w:cstheme="minorHAnsi"/>
          <w:sz w:val="24"/>
          <w:szCs w:val="24"/>
        </w:rPr>
      </w:pPr>
      <w:r>
        <w:rPr>
          <w:rFonts w:ascii="Georgia" w:hAnsi="Georgia" w:cstheme="minorHAnsi"/>
          <w:sz w:val="24"/>
          <w:szCs w:val="24"/>
        </w:rPr>
        <w:t xml:space="preserve"> Observa-se que os deslocamentos </w:t>
      </w:r>
      <w:r>
        <w:rPr>
          <w:rFonts w:ascii="Georgia" w:hAnsi="Georgia" w:cstheme="minorHAnsi"/>
          <w:sz w:val="24"/>
          <w:szCs w:val="24"/>
        </w:rPr>
        <w:t xml:space="preserve">de </w:t>
      </w:r>
      <w:r>
        <w:rPr>
          <w:rFonts w:ascii="Georgia" w:hAnsi="Georgia" w:cstheme="minorHAnsi"/>
          <w:sz w:val="24"/>
          <w:szCs w:val="24"/>
        </w:rPr>
        <w:t xml:space="preserve">alta</w:t>
      </w:r>
      <w:r>
        <w:rPr>
          <w:rFonts w:ascii="Georgia" w:hAnsi="Georgia" w:cstheme="minorHAnsi"/>
          <w:sz w:val="24"/>
          <w:szCs w:val="24"/>
        </w:rPr>
        <w:t xml:space="preserve"> complexidade colocam Alfenas na condição de cidade média, não necessariamente pelo tamanho demográfico, mas em </w:t>
      </w:r>
      <w:r>
        <w:rPr>
          <w:rFonts w:ascii="Georgia" w:hAnsi="Georgia" w:cstheme="minorHAnsi"/>
          <w:sz w:val="24"/>
          <w:szCs w:val="24"/>
        </w:rPr>
        <w:t xml:space="preserve">com</w:t>
      </w:r>
      <w:r>
        <w:rPr>
          <w:rFonts w:ascii="Georgia" w:hAnsi="Georgia" w:cstheme="minorHAnsi"/>
          <w:sz w:val="24"/>
          <w:szCs w:val="24"/>
        </w:rPr>
        <w:t xml:space="preserve">por uma centralidade de serviços como, por exemplo, na área da saúde. </w:t>
      </w:r>
      <w:r>
        <w:rPr>
          <w:rFonts w:ascii="Georgia" w:hAnsi="Georgia" w:cstheme="minorHAnsi"/>
          <w:sz w:val="24"/>
          <w:szCs w:val="24"/>
        </w:rPr>
        <w:t xml:space="preserve">A cidade </w:t>
      </w:r>
      <w:r>
        <w:rPr>
          <w:rFonts w:ascii="Georgia" w:hAnsi="Georgia" w:cstheme="minorHAnsi"/>
          <w:sz w:val="24"/>
          <w:szCs w:val="24"/>
        </w:rPr>
        <w:t xml:space="preserve">conta com a maior especialidade de referência da região e que implica em deslocamentos dos municípios vizinhos para Alfenas, em função dos centros de hemodiálise e de oncologia que são anexos ao Hospital Santa Casa. </w:t>
      </w:r>
      <w:r>
        <w:rPr>
          <w:rFonts w:ascii="Georgia" w:hAnsi="Georgia" w:cstheme="minorHAnsi"/>
          <w:sz w:val="24"/>
          <w:szCs w:val="24"/>
        </w:rPr>
      </w:r>
    </w:p>
    <w:p w14:paraId="5FBCBAFA" w14:textId="7AFC9B5A">
      <w:pPr>
        <w:pBdr/>
        <w:spacing w:after="120" w:line="360" w:lineRule="auto"/>
        <w:ind w:firstLine="700"/>
        <w:jc w:val="both"/>
        <w:rPr>
          <w:rFonts w:ascii="Georgia" w:hAnsi="Georgia" w:cstheme="minorHAnsi"/>
          <w:b/>
          <w:sz w:val="24"/>
          <w:szCs w:val="24"/>
        </w:rPr>
      </w:pPr>
      <w:r>
        <w:rPr>
          <w:rFonts w:ascii="Georgia" w:hAnsi="Georgia" w:cstheme="minorHAnsi"/>
          <w:sz w:val="24"/>
          <w:szCs w:val="24"/>
        </w:rPr>
        <w:t xml:space="preserve">Em relação ao ensino superior, Alfenas é a oitava cidade do país em fluxo de estudantes, de origem de outros municípios, de acordo com o </w:t>
      </w:r>
      <w:r>
        <w:rPr>
          <w:rFonts w:ascii="Georgia" w:hAnsi="Georgia" w:cstheme="minorHAnsi"/>
          <w:i/>
          <w:iCs/>
          <w:sz w:val="24"/>
          <w:szCs w:val="24"/>
        </w:rPr>
        <w:t xml:space="preserve">Regiões de Influência das Cidades</w:t>
      </w:r>
      <w:r>
        <w:rPr>
          <w:rFonts w:ascii="Georgia" w:hAnsi="Georgia" w:cstheme="minorHAnsi"/>
          <w:sz w:val="24"/>
          <w:szCs w:val="24"/>
        </w:rPr>
        <w:t xml:space="preserve"> (IBGE, 2020), o que contribui para o aumento da demanda por moradias, elevando seus preços, principalmente de locação (Figura 6).</w:t>
      </w:r>
      <w:r>
        <w:rPr>
          <w:rFonts w:ascii="Georgia" w:hAnsi="Georgia" w:cstheme="minorHAnsi"/>
          <w:b/>
          <w:sz w:val="24"/>
          <w:szCs w:val="24"/>
        </w:rPr>
      </w:r>
    </w:p>
    <w:p w14:paraId="52921C59" w14:textId="6D25D72D">
      <w:pPr>
        <w:pBdr/>
        <w:spacing w:after="0" w:line="240" w:lineRule="auto"/>
        <w:ind w:firstLine="700"/>
        <w:jc w:val="center"/>
        <w:rPr>
          <w:rFonts w:ascii="Georgia" w:hAnsi="Georgia" w:cstheme="minorHAnsi"/>
          <w:bCs/>
          <w:sz w:val="24"/>
          <w:szCs w:val="24"/>
        </w:rPr>
      </w:pPr>
      <w:r>
        <w:rPr>
          <w:rFonts w:ascii="Georgia" w:hAnsi="Georgia" w:cstheme="minorHAnsi"/>
          <w:b/>
          <w:sz w:val="24"/>
          <w:szCs w:val="24"/>
        </w:rPr>
        <w:t xml:space="preserve">Figura 6 </w:t>
      </w:r>
      <w:r>
        <w:rPr>
          <w:rFonts w:ascii="Georgia" w:hAnsi="Georgia" w:cstheme="minorHAnsi"/>
          <w:bCs/>
          <w:sz w:val="24"/>
          <w:szCs w:val="24"/>
        </w:rPr>
        <w:t xml:space="preserve">– Deslocamentos para cursos superiores em São Paulo e no sul de Minas Gerais, 2018</w:t>
      </w:r>
      <w:r>
        <w:rPr>
          <w:rFonts w:ascii="Georgia" w:hAnsi="Georgia" w:cstheme="minorHAnsi"/>
          <w:bCs/>
          <w:sz w:val="24"/>
          <w:szCs w:val="24"/>
        </w:rPr>
      </w:r>
    </w:p>
    <w:p w14:paraId="4A566EE7" w14:textId="77777777">
      <w:pPr>
        <w:pBdr/>
        <w:spacing w:after="120" w:line="360" w:lineRule="auto"/>
        <w:ind/>
        <w:jc w:val="center"/>
        <w:rPr>
          <w:rFonts w:ascii="Georgia" w:hAnsi="Georgia" w:cstheme="minorHAnsi"/>
          <w:b/>
          <w:sz w:val="24"/>
          <w:szCs w:val="24"/>
        </w:rPr>
      </w:pPr>
      <w:r>
        <w:rPr>
          <w:rFonts w:ascii="Georgia" w:hAnsi="Georgia" w:cstheme="minorHAnsi"/>
        </w:rPr>
        <mc:AlternateContent>
          <mc:Choice Requires="wpg">
            <w:drawing>
              <wp:inline xmlns:wp="http://schemas.openxmlformats.org/drawingml/2006/wordprocessingDrawing" distT="0" distB="0" distL="0" distR="0">
                <wp:extent cx="3027045" cy="1963941"/>
                <wp:effectExtent l="0" t="0" r="1905" b="0"/>
                <wp:docPr id="1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pic:cNvPicPr>
                        <pic:nvPr/>
                      </pic:nvPicPr>
                      <pic:blipFill rotWithShape="1">
                        <a:blip r:embed="rId17"/>
                        <a:stretch/>
                      </pic:blipFill>
                      <pic:spPr bwMode="auto">
                        <a:xfrm>
                          <a:off x="0" y="0"/>
                          <a:ext cx="3070338" cy="1992029"/>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38.35pt;height:154.64pt;mso-wrap-distance-left:0.00pt;mso-wrap-distance-top:0.00pt;mso-wrap-distance-right:0.00pt;mso-wrap-distance-bottom:0.00pt;z-index:1;" stroked="f">
                <v:imagedata r:id="rId17" o:title=""/>
                <o:lock v:ext="edit" rotation="t"/>
              </v:shape>
            </w:pict>
          </mc:Fallback>
        </mc:AlternateContent>
      </w:r>
      <w:r>
        <w:rPr>
          <w:rFonts w:ascii="Georgia" w:hAnsi="Georgia" w:cstheme="minorHAnsi"/>
          <w:b/>
          <w:sz w:val="24"/>
          <w:szCs w:val="24"/>
        </w:rPr>
      </w:r>
    </w:p>
    <w:p w14:paraId="70E97552" w14:textId="77777777">
      <w:pPr>
        <w:pBdr/>
        <w:spacing w:after="120" w:line="360" w:lineRule="auto"/>
        <w:ind/>
        <w:jc w:val="center"/>
        <w:rPr>
          <w:rFonts w:ascii="Georgia" w:hAnsi="Georgia" w:cstheme="minorHAnsi"/>
          <w:sz w:val="20"/>
          <w:szCs w:val="20"/>
        </w:rPr>
      </w:pPr>
      <w:r>
        <w:rPr>
          <w:rFonts w:ascii="Georgia" w:hAnsi="Georgia" w:cstheme="minorHAnsi"/>
          <w:sz w:val="20"/>
          <w:szCs w:val="20"/>
        </w:rPr>
        <w:t xml:space="preserve">Fonte: IBGE, 2020.</w:t>
      </w:r>
      <w:r>
        <w:rPr>
          <w:rFonts w:ascii="Georgia" w:hAnsi="Georgia" w:cstheme="minorHAnsi"/>
          <w:sz w:val="20"/>
          <w:szCs w:val="20"/>
        </w:rPr>
      </w:r>
    </w:p>
    <w:p w14:paraId="4746D016" w14:textId="77777777">
      <w:pPr>
        <w:pBdr/>
        <w:spacing w:after="120" w:line="360" w:lineRule="auto"/>
        <w:ind w:firstLine="700"/>
        <w:jc w:val="both"/>
        <w:rPr>
          <w:rFonts w:ascii="Georgia" w:hAnsi="Georgia" w:cstheme="minorHAnsi"/>
          <w:sz w:val="24"/>
          <w:szCs w:val="24"/>
        </w:rPr>
      </w:pPr>
      <w:r>
        <w:rPr>
          <w:rFonts w:ascii="Georgia" w:hAnsi="Georgia" w:cstheme="minorHAnsi"/>
          <w:sz w:val="24"/>
          <w:szCs w:val="24"/>
        </w:rPr>
        <w:t xml:space="preserve">Sobre esse levantamento, o RE</w:t>
      </w:r>
      <w:r>
        <w:rPr>
          <w:rFonts w:ascii="Georgia" w:hAnsi="Georgia" w:cstheme="minorHAnsi"/>
          <w:sz w:val="24"/>
          <w:szCs w:val="24"/>
        </w:rPr>
        <w:t xml:space="preserve">GIC (2018, p. 98) considerou que: “Os deslocamentos poderiam ser pendulares com ida e volta em todos os dias úteis, com menor frequência (semanais, quinzenais ou mensais, comuns na educação a distância) ou mesmo com mudança do estudante para outra Cidade”.</w:t>
      </w:r>
      <w:r>
        <w:rPr>
          <w:rFonts w:ascii="Georgia" w:hAnsi="Georgia" w:cstheme="minorHAnsi"/>
          <w:sz w:val="24"/>
          <w:szCs w:val="24"/>
        </w:rPr>
      </w:r>
    </w:p>
    <w:p w14:paraId="0F0B5A3F" w14:textId="77777777">
      <w:pPr>
        <w:pBdr/>
        <w:spacing w:after="120" w:line="360" w:lineRule="auto"/>
        <w:ind w:firstLine="700"/>
        <w:jc w:val="both"/>
        <w:rPr>
          <w:rFonts w:ascii="Georgia" w:hAnsi="Georgia" w:cstheme="minorHAnsi"/>
          <w:sz w:val="24"/>
          <w:szCs w:val="24"/>
        </w:rPr>
      </w:pPr>
      <w:r>
        <w:rPr>
          <w:rFonts w:ascii="Georgia" w:hAnsi="Georgia" w:cstheme="minorHAnsi"/>
          <w:sz w:val="24"/>
          <w:szCs w:val="24"/>
        </w:rPr>
        <w:t xml:space="preserve">De acordo com o mapa dos deslocamentos para cursos superiores, Alfenas possui centralidade superior às de cidades como Varginha, Pouso Alegre e Poços de Caldas, as três principais capitais regionais no Sul de Minas.</w:t>
      </w:r>
      <w:r>
        <w:rPr>
          <w:rFonts w:ascii="Georgia" w:hAnsi="Georgia" w:cstheme="minorHAnsi"/>
          <w:sz w:val="24"/>
          <w:szCs w:val="24"/>
        </w:rPr>
      </w:r>
    </w:p>
    <w:p w14:paraId="7B01B519" w14:textId="7C021AA4">
      <w:pPr>
        <w:pBdr/>
        <w:spacing w:after="120" w:line="360" w:lineRule="auto"/>
        <w:ind w:firstLine="700"/>
        <w:jc w:val="both"/>
        <w:rPr>
          <w:rFonts w:ascii="Georgia" w:hAnsi="Georgia" w:cstheme="minorHAnsi"/>
          <w:b/>
          <w:sz w:val="24"/>
          <w:szCs w:val="24"/>
        </w:rPr>
      </w:pPr>
      <w:r>
        <w:rPr>
          <w:rFonts w:ascii="Georgia" w:hAnsi="Georgia" w:cstheme="minorHAnsi"/>
          <w:sz w:val="24"/>
          <w:szCs w:val="24"/>
        </w:rPr>
        <w:t xml:space="preserve">C</w:t>
      </w:r>
      <w:r>
        <w:rPr>
          <w:rFonts w:ascii="Georgia" w:hAnsi="Georgia" w:cstheme="minorHAnsi"/>
          <w:sz w:val="24"/>
          <w:szCs w:val="24"/>
        </w:rPr>
        <w:t xml:space="preserve">om relação ao número de estudantes matriculados nas duas universidades em Alfenas, uma pública e outra privada, em 2022, alcançava um total de 14.527 alunos, o que representa 18,4% do total da população de 78.970 habitantes do município, conformando assim </w:t>
      </w:r>
      <w:r>
        <w:rPr>
          <w:rFonts w:ascii="Georgia" w:hAnsi="Georgia" w:cstheme="minorHAnsi"/>
          <w:sz w:val="24"/>
          <w:szCs w:val="24"/>
        </w:rPr>
        <w:t xml:space="preserve">o perfil de </w:t>
      </w:r>
      <w:r>
        <w:rPr>
          <w:rFonts w:ascii="Georgia" w:hAnsi="Georgia" w:cstheme="minorHAnsi"/>
          <w:sz w:val="24"/>
          <w:szCs w:val="24"/>
        </w:rPr>
        <w:t xml:space="preserve">uma “cidade universitária”, uma especialização funcional em sua região imediata e na região do Sul de Minas (Figuras 7 e 8).</w:t>
      </w:r>
      <w:r>
        <w:rPr>
          <w:rFonts w:ascii="Georgia" w:hAnsi="Georgia" w:cstheme="minorHAnsi"/>
          <w:b/>
          <w:sz w:val="24"/>
          <w:szCs w:val="24"/>
        </w:rPr>
      </w:r>
    </w:p>
    <w:p w14:paraId="0B8D8755" w14:textId="77777777">
      <w:pPr>
        <w:pBdr/>
        <w:spacing w:after="120" w:line="240" w:lineRule="auto"/>
        <w:ind/>
        <w:jc w:val="center"/>
        <w:rPr>
          <w:rFonts w:ascii="Georgia" w:hAnsi="Georgia" w:cstheme="minorHAnsi"/>
          <w:b/>
          <w:sz w:val="24"/>
          <w:szCs w:val="24"/>
        </w:rPr>
      </w:pPr>
      <w:r>
        <w:rPr>
          <w:rFonts w:ascii="Georgia" w:hAnsi="Georgia" w:cstheme="minorHAnsi"/>
          <w:b/>
          <w:sz w:val="24"/>
          <w:szCs w:val="24"/>
        </w:rPr>
        <w:t xml:space="preserve">Figura 8 </w:t>
      </w:r>
      <w:r>
        <w:rPr>
          <w:rFonts w:ascii="Georgia" w:hAnsi="Georgia" w:cstheme="minorHAnsi"/>
          <w:bCs/>
          <w:sz w:val="24"/>
          <w:szCs w:val="24"/>
        </w:rPr>
        <w:t xml:space="preserve">– Número de matrículas na Universidade Federal de Alfenas (UNIFAL)</w:t>
      </w:r>
      <w:r>
        <w:rPr>
          <w:rFonts w:ascii="Georgia" w:hAnsi="Georgia" w:cstheme="minorHAnsi"/>
          <w:b/>
          <w:sz w:val="24"/>
          <w:szCs w:val="24"/>
        </w:rPr>
      </w:r>
    </w:p>
    <w:p w14:paraId="4F8D761C" w14:textId="77777777">
      <w:pPr>
        <w:pBdr/>
        <w:spacing w:after="120" w:line="360" w:lineRule="auto"/>
        <w:ind/>
        <w:jc w:val="center"/>
        <w:rPr>
          <w:rFonts w:ascii="Georgia" w:hAnsi="Georgia" w:cstheme="minorHAnsi"/>
          <w:b/>
          <w:sz w:val="24"/>
          <w:szCs w:val="24"/>
        </w:rPr>
      </w:pPr>
      <w:r>
        <w:rPr>
          <w:rFonts w:ascii="Georgia" w:hAnsi="Georgia" w:cstheme="minorHAnsi"/>
          <w:b/>
          <w:sz w:val="24"/>
          <w:szCs w:val="24"/>
        </w:rPr>
        <mc:AlternateContent>
          <mc:Choice Requires="wpg">
            <w:drawing>
              <wp:inline xmlns:wp="http://schemas.openxmlformats.org/drawingml/2006/wordprocessingDrawing" distT="0" distB="0" distL="0" distR="0">
                <wp:extent cx="3766820" cy="2242820"/>
                <wp:effectExtent l="0" t="0" r="5080" b="5080"/>
                <wp:docPr id="12" name="image4.gif"/>
                <wp:cNvGraphicFramePr/>
                <a:graphic xmlns:a="http://schemas.openxmlformats.org/drawingml/2006/main">
                  <a:graphicData uri="http://schemas.openxmlformats.org/drawingml/2006/picture">
                    <pic:pic xmlns:pic="http://schemas.openxmlformats.org/drawingml/2006/picture">
                      <pic:nvPicPr>
                        <pic:cNvPr id="0" name="image4.gif"/>
                        <pic:cNvPicPr/>
                        <pic:nvPr/>
                      </pic:nvPicPr>
                      <pic:blipFill rotWithShape="1">
                        <a:blip r:embed="rId18"/>
                        <a:stretch/>
                      </pic:blipFill>
                      <pic:spPr bwMode="auto">
                        <a:xfrm>
                          <a:off x="0" y="0"/>
                          <a:ext cx="3766820" cy="2242820"/>
                        </a:xfrm>
                        <a:prstGeom prst="rect">
                          <a:avLst/>
                        </a:prstGeom>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296.60pt;height:176.60pt;mso-wrap-distance-left:0.00pt;mso-wrap-distance-top:0.00pt;mso-wrap-distance-right:0.00pt;mso-wrap-distance-bottom:0.00pt;z-index:1;">
                <v:imagedata r:id="rId18" o:title=""/>
                <o:lock v:ext="edit" rotation="t"/>
              </v:shape>
            </w:pict>
          </mc:Fallback>
        </mc:AlternateContent>
      </w:r>
      <w:r>
        <w:rPr>
          <w:rFonts w:ascii="Georgia" w:hAnsi="Georgia" w:cstheme="minorHAnsi"/>
          <w:b/>
          <w:sz w:val="24"/>
          <w:szCs w:val="24"/>
        </w:rPr>
      </w:r>
    </w:p>
    <w:p w14:paraId="00F8ECCA" w14:textId="77777777">
      <w:pPr>
        <w:pBdr/>
        <w:spacing w:after="120" w:line="360" w:lineRule="auto"/>
        <w:ind/>
        <w:jc w:val="center"/>
        <w:rPr>
          <w:rFonts w:ascii="Georgia" w:hAnsi="Georgia" w:cstheme="minorHAnsi"/>
          <w:sz w:val="20"/>
          <w:szCs w:val="20"/>
        </w:rPr>
      </w:pPr>
      <w:r>
        <w:rPr>
          <w:rFonts w:ascii="Georgia" w:hAnsi="Georgia" w:cstheme="minorHAnsi"/>
          <w:sz w:val="20"/>
          <w:szCs w:val="20"/>
        </w:rPr>
        <w:t xml:space="preserve">Fonte: Instituto Nacional de Estudos e Pesquisas Educacionais Anísio Teixeira (Inep), 2024.</w:t>
      </w:r>
      <w:r>
        <w:rPr>
          <w:rFonts w:ascii="Georgia" w:hAnsi="Georgia" w:cstheme="minorHAnsi"/>
          <w:sz w:val="20"/>
          <w:szCs w:val="20"/>
        </w:rPr>
      </w:r>
    </w:p>
    <w:p w14:paraId="0B909CED" w14:textId="2620C9F6">
      <w:pPr>
        <w:pBdr/>
        <w:spacing w:after="120" w:line="360" w:lineRule="auto"/>
        <w:ind/>
        <w:jc w:val="both"/>
        <w:rPr>
          <w:rFonts w:ascii="Georgia" w:hAnsi="Georgia" w:cstheme="minorHAnsi"/>
          <w:sz w:val="24"/>
          <w:szCs w:val="24"/>
        </w:rPr>
      </w:pPr>
      <w:r>
        <w:rPr>
          <w:rFonts w:ascii="Georgia" w:hAnsi="Georgia" w:cstheme="minorHAnsi"/>
          <w:sz w:val="20"/>
          <w:szCs w:val="20"/>
        </w:rPr>
        <w:tab/>
      </w:r>
      <w:r>
        <w:rPr>
          <w:rFonts w:ascii="Georgia" w:hAnsi="Georgia" w:cstheme="minorHAnsi"/>
          <w:sz w:val="24"/>
          <w:szCs w:val="24"/>
        </w:rPr>
        <w:t xml:space="preserve">Enquanto para a universidade privada</w:t>
      </w:r>
      <w:r>
        <w:rPr>
          <w:rFonts w:ascii="Georgia" w:hAnsi="Georgia" w:cstheme="minorHAnsi"/>
          <w:sz w:val="24"/>
          <w:szCs w:val="24"/>
        </w:rPr>
        <w:t xml:space="preserve"> UNIFENAS</w:t>
      </w:r>
      <w:r>
        <w:rPr>
          <w:rFonts w:ascii="Georgia" w:hAnsi="Georgia" w:cstheme="minorHAnsi"/>
          <w:sz w:val="24"/>
          <w:szCs w:val="24"/>
        </w:rPr>
        <w:t xml:space="preserve">, esses números correspondem</w:t>
      </w:r>
      <w:r>
        <w:rPr>
          <w:rFonts w:ascii="Georgia" w:hAnsi="Georgia" w:cstheme="minorHAnsi"/>
          <w:sz w:val="24"/>
          <w:szCs w:val="24"/>
        </w:rPr>
        <w:t xml:space="preserve"> ao período referido:</w:t>
      </w:r>
      <w:r>
        <w:rPr>
          <w:rFonts w:ascii="Georgia" w:hAnsi="Georgia" w:cstheme="minorHAnsi"/>
          <w:sz w:val="24"/>
          <w:szCs w:val="24"/>
        </w:rPr>
      </w:r>
    </w:p>
    <w:p w14:paraId="034B2E38" w14:textId="77777777">
      <w:pPr>
        <w:pBdr/>
        <w:spacing w:after="120" w:line="240" w:lineRule="auto"/>
        <w:ind/>
        <w:jc w:val="center"/>
        <w:rPr>
          <w:rFonts w:ascii="Georgia" w:hAnsi="Georgia" w:cstheme="minorHAnsi"/>
          <w:b/>
          <w:sz w:val="24"/>
          <w:szCs w:val="24"/>
        </w:rPr>
      </w:pPr>
      <w:r>
        <w:rPr>
          <w:rFonts w:ascii="Georgia" w:hAnsi="Georgia" w:cstheme="minorHAnsi"/>
          <w:b/>
          <w:sz w:val="24"/>
          <w:szCs w:val="24"/>
        </w:rPr>
      </w:r>
      <w:r>
        <w:rPr>
          <w:rFonts w:ascii="Georgia" w:hAnsi="Georgia" w:cstheme="minorHAnsi"/>
          <w:b/>
          <w:sz w:val="24"/>
          <w:szCs w:val="24"/>
        </w:rPr>
      </w:r>
    </w:p>
    <w:p w14:paraId="4A977CB8" w14:textId="6E7B17C1">
      <w:pPr>
        <w:pBdr/>
        <w:spacing w:after="120" w:line="240" w:lineRule="auto"/>
        <w:ind/>
        <w:jc w:val="center"/>
        <w:rPr>
          <w:rFonts w:ascii="Georgia" w:hAnsi="Georgia" w:cstheme="minorHAnsi"/>
          <w:bCs/>
          <w:sz w:val="24"/>
          <w:szCs w:val="24"/>
        </w:rPr>
      </w:pPr>
      <w:r>
        <w:rPr>
          <w:rFonts w:ascii="Georgia" w:hAnsi="Georgia" w:cstheme="minorHAnsi"/>
          <w:b/>
          <w:sz w:val="24"/>
          <w:szCs w:val="24"/>
        </w:rPr>
        <w:t xml:space="preserve">Figura 7 </w:t>
      </w:r>
      <w:r>
        <w:rPr>
          <w:rFonts w:ascii="Georgia" w:hAnsi="Georgia" w:cstheme="minorHAnsi"/>
          <w:bCs/>
          <w:sz w:val="24"/>
          <w:szCs w:val="24"/>
        </w:rPr>
        <w:t xml:space="preserve">– Número de matrículas na Universidade Prof. Edson Antônio </w:t>
      </w:r>
      <w:r>
        <w:rPr>
          <w:rFonts w:ascii="Georgia" w:hAnsi="Georgia" w:cstheme="minorHAnsi"/>
          <w:bCs/>
          <w:sz w:val="24"/>
          <w:szCs w:val="24"/>
        </w:rPr>
        <w:t xml:space="preserve">Velano</w:t>
      </w:r>
      <w:r>
        <w:rPr>
          <w:rFonts w:ascii="Georgia" w:hAnsi="Georgia" w:cstheme="minorHAnsi"/>
          <w:bCs/>
          <w:sz w:val="24"/>
          <w:szCs w:val="24"/>
        </w:rPr>
        <w:t xml:space="preserve"> (UNIFENAS)</w:t>
      </w:r>
      <w:r>
        <w:rPr>
          <w:rFonts w:ascii="Georgia" w:hAnsi="Georgia" w:cstheme="minorHAnsi"/>
          <w:bCs/>
          <w:sz w:val="24"/>
          <w:szCs w:val="24"/>
        </w:rPr>
      </w:r>
    </w:p>
    <w:p w14:paraId="309879BC" w14:textId="77777777">
      <w:pPr>
        <w:pBdr/>
        <w:spacing w:after="120" w:line="360" w:lineRule="auto"/>
        <w:ind/>
        <w:jc w:val="center"/>
        <w:rPr>
          <w:rFonts w:ascii="Georgia" w:hAnsi="Georgia" w:cstheme="minorHAnsi"/>
          <w:sz w:val="24"/>
          <w:szCs w:val="24"/>
        </w:rPr>
      </w:pPr>
      <w:r>
        <w:rPr>
          <w:rFonts w:ascii="Georgia" w:hAnsi="Georgia" w:cstheme="minorHAnsi"/>
          <w:sz w:val="24"/>
          <w:szCs w:val="24"/>
        </w:rPr>
        <mc:AlternateContent>
          <mc:Choice Requires="wpg">
            <w:drawing>
              <wp:inline xmlns:wp="http://schemas.openxmlformats.org/drawingml/2006/wordprocessingDrawing" distT="0" distB="0" distL="0" distR="0">
                <wp:extent cx="3802380" cy="2065020"/>
                <wp:effectExtent l="0" t="0" r="7620" b="0"/>
                <wp:docPr id="13" name="image6.gif"/>
                <wp:cNvGraphicFramePr/>
                <a:graphic xmlns:a="http://schemas.openxmlformats.org/drawingml/2006/main">
                  <a:graphicData uri="http://schemas.openxmlformats.org/drawingml/2006/picture">
                    <pic:pic xmlns:pic="http://schemas.openxmlformats.org/drawingml/2006/picture">
                      <pic:nvPicPr>
                        <pic:cNvPr id="0" name="image6.gif"/>
                        <pic:cNvPicPr/>
                        <pic:nvPr/>
                      </pic:nvPicPr>
                      <pic:blipFill rotWithShape="1">
                        <a:blip r:embed="rId19"/>
                        <a:stretch/>
                      </pic:blipFill>
                      <pic:spPr bwMode="auto">
                        <a:xfrm>
                          <a:off x="0" y="0"/>
                          <a:ext cx="3802380" cy="2065020"/>
                        </a:xfrm>
                        <a:prstGeom prst="rect">
                          <a:avLst/>
                        </a:prstGeom>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299.40pt;height:162.60pt;mso-wrap-distance-left:0.00pt;mso-wrap-distance-top:0.00pt;mso-wrap-distance-right:0.00pt;mso-wrap-distance-bottom:0.00pt;z-index:1;">
                <v:imagedata r:id="rId19" o:title=""/>
                <o:lock v:ext="edit" rotation="t"/>
              </v:shape>
            </w:pict>
          </mc:Fallback>
        </mc:AlternateContent>
      </w:r>
      <w:r>
        <w:rPr>
          <w:rFonts w:ascii="Georgia" w:hAnsi="Georgia" w:cstheme="minorHAnsi"/>
          <w:sz w:val="24"/>
          <w:szCs w:val="24"/>
        </w:rPr>
      </w:r>
    </w:p>
    <w:p w14:paraId="6482E16F" w14:textId="77777777">
      <w:pPr>
        <w:pBdr/>
        <w:spacing w:after="120" w:line="360" w:lineRule="auto"/>
        <w:ind/>
        <w:jc w:val="center"/>
        <w:rPr>
          <w:rFonts w:ascii="Georgia" w:hAnsi="Georgia" w:cstheme="minorHAnsi"/>
          <w:sz w:val="20"/>
          <w:szCs w:val="20"/>
        </w:rPr>
      </w:pPr>
      <w:r>
        <w:rPr>
          <w:rFonts w:ascii="Georgia" w:hAnsi="Georgia" w:cstheme="minorHAnsi"/>
          <w:sz w:val="20"/>
          <w:szCs w:val="20"/>
        </w:rPr>
        <w:t xml:space="preserve">Fonte: Instituto Nacional de Estudos e Pesquisas Educacionais Anísio Teixeira (Inep), 2024.</w:t>
      </w:r>
      <w:r>
        <w:rPr>
          <w:rFonts w:ascii="Georgia" w:hAnsi="Georgia" w:cstheme="minorHAnsi"/>
          <w:sz w:val="20"/>
          <w:szCs w:val="20"/>
        </w:rPr>
      </w:r>
    </w:p>
    <w:p w14:paraId="7572CE2F" w14:textId="781ABB1F">
      <w:pPr>
        <w:pBdr/>
        <w:spacing w:after="120" w:line="360" w:lineRule="auto"/>
        <w:ind w:firstLine="720"/>
        <w:jc w:val="both"/>
        <w:rPr>
          <w:rFonts w:ascii="Georgia" w:hAnsi="Georgia" w:cstheme="minorHAnsi"/>
          <w:sz w:val="24"/>
          <w:szCs w:val="24"/>
        </w:rPr>
      </w:pPr>
      <w:r>
        <w:rPr>
          <w:rFonts w:ascii="Georgia" w:hAnsi="Georgia" w:cstheme="minorHAnsi"/>
          <w:sz w:val="24"/>
          <w:szCs w:val="24"/>
        </w:rPr>
        <w:t xml:space="preserve">Pode-se afirmar que o elevado contingente de estudantes na cidade tem repercussões a “montante”, no sentido de demandar uma infraestrutura para sua manutenção, tais como moradias, restaurantes, </w:t>
      </w:r>
      <w:r>
        <w:rPr>
          <w:rFonts w:ascii="Georgia" w:hAnsi="Georgia" w:cstheme="minorHAnsi"/>
          <w:sz w:val="24"/>
          <w:szCs w:val="24"/>
        </w:rPr>
        <w:t xml:space="preserve">transportes</w:t>
      </w:r>
      <w:r>
        <w:rPr>
          <w:rFonts w:ascii="Georgia" w:hAnsi="Georgia" w:cstheme="minorHAnsi"/>
          <w:sz w:val="24"/>
          <w:szCs w:val="24"/>
        </w:rPr>
        <w:t xml:space="preserve">, papelarias etc., q</w:t>
      </w:r>
      <w:r>
        <w:rPr>
          <w:rFonts w:ascii="Georgia" w:hAnsi="Georgia" w:cstheme="minorHAnsi"/>
          <w:sz w:val="24"/>
          <w:szCs w:val="24"/>
        </w:rPr>
        <w:t xml:space="preserve">uanto a “jusante”, decorrente da atuação direta de uma parte destes no mercado de trabalho da cidade e nas cidades da região imediata, enquanto uma outra parte retorna às suas regiões de origem no Estado de Minas Gerias e do país após a conclusão do curso.</w:t>
      </w:r>
      <w:r>
        <w:rPr>
          <w:rFonts w:ascii="Georgia" w:hAnsi="Georgia" w:cstheme="minorHAnsi"/>
          <w:sz w:val="24"/>
          <w:szCs w:val="24"/>
        </w:rPr>
      </w:r>
    </w:p>
    <w:p w14:paraId="110FA2AC" w14:textId="4DFF6190">
      <w:pPr>
        <w:pBdr/>
        <w:spacing w:after="120" w:line="360" w:lineRule="auto"/>
        <w:ind w:firstLine="720"/>
        <w:jc w:val="both"/>
        <w:rPr>
          <w:rFonts w:ascii="Georgia" w:hAnsi="Georgia" w:cstheme="minorHAnsi"/>
          <w:b/>
          <w:bCs/>
          <w:sz w:val="24"/>
          <w:szCs w:val="24"/>
        </w:rPr>
      </w:pPr>
      <w:r>
        <w:rPr>
          <w:rFonts w:ascii="Georgia" w:hAnsi="Georgia" w:cstheme="minorHAnsi"/>
          <w:sz w:val="24"/>
          <w:szCs w:val="24"/>
        </w:rPr>
        <w:t xml:space="preserve">Em comparação às u</w:t>
      </w:r>
      <w:r>
        <w:rPr>
          <w:rFonts w:ascii="Georgia" w:hAnsi="Georgia" w:cstheme="minorHAnsi"/>
          <w:sz w:val="24"/>
          <w:szCs w:val="24"/>
        </w:rPr>
        <w:t xml:space="preserve">niversidades localizadas nas capitais e mais estruturadas em número de cursos e de estudantes, as duas universidades em Alfenas podem ser consideradas de pequeno porte, inserindo-se numa hierarquia de instituições de ensino superior do país. Contudo, elas </w:t>
      </w:r>
      <w:r>
        <w:rPr>
          <w:rFonts w:ascii="Georgia" w:hAnsi="Georgia" w:cstheme="minorHAnsi"/>
          <w:sz w:val="24"/>
          <w:szCs w:val="24"/>
        </w:rPr>
        <w:t xml:space="preserve">confer</w:t>
      </w:r>
      <w:r>
        <w:rPr>
          <w:rFonts w:ascii="Georgia" w:hAnsi="Georgia" w:cstheme="minorHAnsi"/>
          <w:sz w:val="24"/>
          <w:szCs w:val="24"/>
        </w:rPr>
        <w:t xml:space="preserve">em um papel relevante na dinâmica urbana de Alfenas e regional no Sul de Minas Gerais</w:t>
      </w:r>
      <w:r>
        <w:rPr>
          <w:rFonts w:ascii="Georgia" w:hAnsi="Georgia" w:cstheme="minorHAnsi"/>
          <w:sz w:val="24"/>
          <w:szCs w:val="24"/>
        </w:rPr>
        <w:t xml:space="preserve">.</w:t>
      </w:r>
      <w:r>
        <w:rPr>
          <w:rFonts w:ascii="Georgia" w:hAnsi="Georgia" w:cstheme="minorHAnsi"/>
          <w:b/>
          <w:bCs/>
          <w:sz w:val="24"/>
          <w:szCs w:val="24"/>
        </w:rPr>
      </w:r>
    </w:p>
    <w:p w14:paraId="1FE05A42" w14:textId="77777777">
      <w:pPr>
        <w:pBdr/>
        <w:spacing w:after="120" w:line="360" w:lineRule="auto"/>
        <w:ind w:firstLine="720"/>
        <w:jc w:val="both"/>
        <w:rPr>
          <w:rFonts w:ascii="Georgia" w:hAnsi="Georgia" w:cstheme="minorHAnsi"/>
          <w:sz w:val="24"/>
          <w:szCs w:val="24"/>
        </w:rPr>
      </w:pPr>
      <w:r>
        <w:rPr>
          <w:rFonts w:ascii="Georgia" w:hAnsi="Georgia" w:cstheme="minorHAnsi"/>
          <w:sz w:val="24"/>
          <w:szCs w:val="24"/>
        </w:rPr>
        <w:t xml:space="preserve">Se considerarmos o valor econômico movimentado no m</w:t>
      </w:r>
      <w:r>
        <w:rPr>
          <w:rFonts w:ascii="Georgia" w:hAnsi="Georgia" w:cstheme="minorHAnsi"/>
          <w:sz w:val="24"/>
          <w:szCs w:val="24"/>
        </w:rPr>
        <w:t xml:space="preserve">unicípio de Alfenas, as duas principais especializações produtivas estão no setor agrícola com o cultivo de café, e na indústria por meio da produção de fios de poliéster, ambas atividades atendem tanto o mercado nacional quanto o internacional (Tabela 2).</w:t>
      </w:r>
      <w:r>
        <w:rPr>
          <w:rFonts w:ascii="Georgia" w:hAnsi="Georgia" w:cstheme="minorHAnsi"/>
          <w:sz w:val="24"/>
          <w:szCs w:val="24"/>
        </w:rPr>
      </w:r>
    </w:p>
    <w:p w14:paraId="7BE0C719" w14:textId="77777777">
      <w:pPr>
        <w:pBdr/>
        <w:spacing w:after="0" w:line="240" w:lineRule="auto"/>
        <w:ind/>
        <w:jc w:val="center"/>
        <w:rPr>
          <w:rFonts w:ascii="Georgia" w:hAnsi="Georgia" w:cstheme="minorHAnsi"/>
          <w:b/>
          <w:sz w:val="24"/>
          <w:szCs w:val="24"/>
        </w:rPr>
      </w:pPr>
      <w:r>
        <w:rPr>
          <w:rFonts w:ascii="Georgia" w:hAnsi="Georgia" w:cstheme="minorHAnsi"/>
          <w:b/>
          <w:sz w:val="24"/>
          <w:szCs w:val="24"/>
        </w:rPr>
      </w:r>
      <w:r>
        <w:rPr>
          <w:rFonts w:ascii="Georgia" w:hAnsi="Georgia" w:cstheme="minorHAnsi"/>
          <w:b/>
          <w:sz w:val="24"/>
          <w:szCs w:val="24"/>
        </w:rPr>
      </w:r>
    </w:p>
    <w:p w14:paraId="1C97D5D7" w14:textId="1D7E9023">
      <w:pPr>
        <w:pBdr/>
        <w:spacing w:after="0" w:line="240" w:lineRule="auto"/>
        <w:ind/>
        <w:jc w:val="center"/>
        <w:rPr>
          <w:rFonts w:ascii="Georgia" w:hAnsi="Georgia" w:cstheme="minorHAnsi"/>
          <w:b/>
          <w:sz w:val="24"/>
          <w:szCs w:val="24"/>
        </w:rPr>
      </w:pPr>
      <w:r>
        <w:rPr>
          <w:rFonts w:ascii="Georgia" w:hAnsi="Georgia" w:cstheme="minorHAnsi"/>
          <w:b/>
          <w:sz w:val="24"/>
          <w:szCs w:val="24"/>
        </w:rPr>
        <w:t xml:space="preserve">Tabela 2 </w:t>
      </w:r>
      <w:r>
        <w:rPr>
          <w:rFonts w:ascii="Georgia" w:hAnsi="Georgia" w:cstheme="minorHAnsi"/>
          <w:bCs/>
          <w:sz w:val="24"/>
          <w:szCs w:val="24"/>
        </w:rPr>
        <w:t xml:space="preserve">– Principais atividades econômicas em Alfenas</w:t>
      </w:r>
      <w:r>
        <w:rPr>
          <w:rFonts w:ascii="Georgia" w:hAnsi="Georgia" w:cstheme="minorHAnsi"/>
          <w:b/>
          <w:sz w:val="24"/>
          <w:szCs w:val="24"/>
        </w:rPr>
      </w:r>
    </w:p>
    <w:tbl>
      <w:tblPr>
        <w:tblStyle w:val="852"/>
        <w:jc w:val="center"/>
        <w:tblW w:w="0" w:type="auto"/>
        <w:tblBorders/>
        <w:tblLook w:val="04A0" w:firstRow="1" w:lastRow="0" w:firstColumn="1" w:lastColumn="0" w:noHBand="0" w:noVBand="1"/>
      </w:tblPr>
      <w:tblGrid>
        <w:gridCol w:w="6065"/>
        <w:gridCol w:w="1672"/>
      </w:tblGrid>
      <w:tr>
        <w:trPr>
          <w:jc w:val="center"/>
          <w:trHeight w:val="528"/>
        </w:trPr>
        <w:tc>
          <w:tcPr>
            <w:tcBorders/>
            <w:tcW w:w="6065" w:type="dxa"/>
          </w:tcPr>
          <w:p w14:paraId="07F36084" w14:textId="77777777">
            <w:pPr>
              <w:pBdr/>
              <w:spacing/>
              <w:ind/>
              <w:rPr>
                <w:rFonts w:ascii="Georgia" w:hAnsi="Georgia" w:cstheme="minorHAnsi"/>
                <w:b/>
                <w:bCs/>
                <w:sz w:val="20"/>
                <w:szCs w:val="20"/>
              </w:rPr>
            </w:pPr>
            <w:r>
              <w:rPr>
                <w:rFonts w:ascii="Georgia" w:hAnsi="Georgia" w:cstheme="minorHAnsi"/>
                <w:b/>
                <w:bCs/>
                <w:sz w:val="20"/>
                <w:szCs w:val="20"/>
              </w:rPr>
              <w:t xml:space="preserve">Distribuição por Subclasse CNAE 2.0</w:t>
            </w:r>
            <w:r>
              <w:rPr>
                <w:rFonts w:ascii="Georgia" w:hAnsi="Georgia" w:cstheme="minorHAnsi"/>
                <w:b/>
                <w:bCs/>
                <w:sz w:val="20"/>
                <w:szCs w:val="20"/>
              </w:rPr>
            </w:r>
          </w:p>
        </w:tc>
        <w:tc>
          <w:tcPr>
            <w:tcBorders/>
            <w:tcW w:w="1672" w:type="dxa"/>
          </w:tcPr>
          <w:p w14:paraId="1ECA5F67" w14:textId="77777777">
            <w:pPr>
              <w:pBdr/>
              <w:spacing/>
              <w:ind/>
              <w:jc w:val="center"/>
              <w:rPr>
                <w:rFonts w:ascii="Georgia" w:hAnsi="Georgia" w:cstheme="minorHAnsi"/>
                <w:b/>
                <w:bCs/>
                <w:sz w:val="20"/>
                <w:szCs w:val="20"/>
              </w:rPr>
            </w:pPr>
            <w:r>
              <w:rPr>
                <w:rFonts w:ascii="Georgia" w:hAnsi="Georgia" w:cstheme="minorHAnsi"/>
                <w:b/>
                <w:bCs/>
                <w:sz w:val="20"/>
                <w:szCs w:val="20"/>
              </w:rPr>
              <w:t xml:space="preserve">% Saldo Movimentado</w:t>
            </w:r>
            <w:r>
              <w:rPr>
                <w:rFonts w:ascii="Georgia" w:hAnsi="Georgia" w:cstheme="minorHAnsi"/>
                <w:b/>
                <w:bCs/>
                <w:sz w:val="20"/>
                <w:szCs w:val="20"/>
              </w:rPr>
            </w:r>
          </w:p>
        </w:tc>
      </w:tr>
      <w:tr>
        <w:trPr>
          <w:jc w:val="center"/>
          <w:trHeight w:val="308"/>
        </w:trPr>
        <w:tc>
          <w:tcPr>
            <w:tcBorders/>
            <w:tcW w:w="6065" w:type="dxa"/>
            <w:vAlign w:val="center"/>
          </w:tcPr>
          <w:p w14:paraId="19DC7873" w14:textId="77777777">
            <w:pPr>
              <w:pBdr/>
              <w:spacing/>
              <w:ind/>
              <w:rPr>
                <w:rFonts w:ascii="Georgia" w:hAnsi="Georgia" w:cstheme="minorHAnsi"/>
                <w:sz w:val="20"/>
                <w:szCs w:val="20"/>
              </w:rPr>
            </w:pPr>
            <w:r>
              <w:rPr>
                <w:rFonts w:ascii="Georgia" w:hAnsi="Georgia" w:cstheme="minorHAnsi"/>
                <w:sz w:val="20"/>
                <w:szCs w:val="20"/>
              </w:rPr>
              <w:t xml:space="preserve">Cultivo de café</w:t>
            </w:r>
            <w:r>
              <w:rPr>
                <w:rFonts w:ascii="Georgia" w:hAnsi="Georgia" w:cstheme="minorHAnsi"/>
                <w:sz w:val="20"/>
                <w:szCs w:val="20"/>
              </w:rPr>
            </w:r>
          </w:p>
        </w:tc>
        <w:tc>
          <w:tcPr>
            <w:tcBorders/>
            <w:tcW w:w="1672" w:type="dxa"/>
            <w:vAlign w:val="center"/>
          </w:tcPr>
          <w:p w14:paraId="3A058F7F" w14:textId="77777777">
            <w:pPr>
              <w:pBdr/>
              <w:spacing/>
              <w:ind/>
              <w:jc w:val="center"/>
              <w:rPr>
                <w:rFonts w:ascii="Georgia" w:hAnsi="Georgia" w:cstheme="minorHAnsi"/>
                <w:sz w:val="20"/>
                <w:szCs w:val="20"/>
              </w:rPr>
            </w:pPr>
            <w:r>
              <w:rPr>
                <w:rFonts w:ascii="Georgia" w:hAnsi="Georgia" w:cstheme="minorHAnsi"/>
                <w:sz w:val="20"/>
                <w:szCs w:val="20"/>
              </w:rPr>
              <w:t xml:space="preserve">18,27%</w:t>
            </w:r>
            <w:r>
              <w:rPr>
                <w:rFonts w:ascii="Georgia" w:hAnsi="Georgia" w:cstheme="minorHAnsi"/>
                <w:sz w:val="20"/>
                <w:szCs w:val="20"/>
              </w:rPr>
            </w:r>
          </w:p>
        </w:tc>
      </w:tr>
      <w:tr>
        <w:trPr>
          <w:jc w:val="center"/>
          <w:trHeight w:val="528"/>
        </w:trPr>
        <w:tc>
          <w:tcPr>
            <w:tcBorders/>
            <w:tcW w:w="6065" w:type="dxa"/>
            <w:vAlign w:val="center"/>
          </w:tcPr>
          <w:p w14:paraId="09C73BE3" w14:textId="77777777">
            <w:pPr>
              <w:pBdr/>
              <w:spacing/>
              <w:ind/>
              <w:rPr>
                <w:rFonts w:ascii="Georgia" w:hAnsi="Georgia" w:cstheme="minorHAnsi"/>
                <w:sz w:val="20"/>
                <w:szCs w:val="20"/>
              </w:rPr>
            </w:pPr>
            <w:r>
              <w:rPr>
                <w:rFonts w:ascii="Georgia" w:hAnsi="Georgia" w:cstheme="minorHAnsi"/>
                <w:sz w:val="20"/>
                <w:szCs w:val="20"/>
              </w:rPr>
              <w:t xml:space="preserve">Estamparia e texturização em fios, tecidos, artefatos têxteis e peças do vestuário</w:t>
            </w:r>
            <w:r>
              <w:rPr>
                <w:rFonts w:ascii="Georgia" w:hAnsi="Georgia" w:cstheme="minorHAnsi"/>
                <w:sz w:val="20"/>
                <w:szCs w:val="20"/>
              </w:rPr>
            </w:r>
          </w:p>
        </w:tc>
        <w:tc>
          <w:tcPr>
            <w:tcBorders/>
            <w:tcW w:w="1672" w:type="dxa"/>
            <w:vAlign w:val="center"/>
          </w:tcPr>
          <w:p w14:paraId="3B511E2D" w14:textId="77777777">
            <w:pPr>
              <w:pBdr/>
              <w:spacing/>
              <w:ind/>
              <w:jc w:val="center"/>
              <w:rPr>
                <w:rFonts w:ascii="Georgia" w:hAnsi="Georgia" w:cstheme="minorHAnsi"/>
                <w:sz w:val="20"/>
                <w:szCs w:val="20"/>
              </w:rPr>
            </w:pPr>
            <w:r>
              <w:rPr>
                <w:rFonts w:ascii="Georgia" w:hAnsi="Georgia" w:cstheme="minorHAnsi"/>
                <w:sz w:val="20"/>
                <w:szCs w:val="20"/>
              </w:rPr>
              <w:t xml:space="preserve">10,09%</w:t>
            </w:r>
            <w:r>
              <w:rPr>
                <w:rFonts w:ascii="Georgia" w:hAnsi="Georgia" w:cstheme="minorHAnsi"/>
                <w:sz w:val="20"/>
                <w:szCs w:val="20"/>
              </w:rPr>
            </w:r>
          </w:p>
        </w:tc>
      </w:tr>
      <w:tr>
        <w:trPr>
          <w:jc w:val="center"/>
          <w:trHeight w:val="319"/>
        </w:trPr>
        <w:tc>
          <w:tcPr>
            <w:tcBorders/>
            <w:tcW w:w="6065" w:type="dxa"/>
            <w:vAlign w:val="center"/>
          </w:tcPr>
          <w:p w14:paraId="325EC42D" w14:textId="77777777">
            <w:pPr>
              <w:pBdr/>
              <w:spacing/>
              <w:ind/>
              <w:rPr>
                <w:rFonts w:ascii="Georgia" w:hAnsi="Georgia" w:cstheme="minorHAnsi"/>
                <w:sz w:val="20"/>
                <w:szCs w:val="20"/>
              </w:rPr>
            </w:pPr>
            <w:r>
              <w:rPr>
                <w:rFonts w:ascii="Georgia" w:hAnsi="Georgia" w:cstheme="minorHAnsi"/>
                <w:sz w:val="20"/>
                <w:szCs w:val="20"/>
              </w:rPr>
              <w:t xml:space="preserve">Serviços combinados de escritório e apoio administrativo</w:t>
            </w:r>
            <w:r>
              <w:rPr>
                <w:rFonts w:ascii="Georgia" w:hAnsi="Georgia" w:cstheme="minorHAnsi"/>
                <w:sz w:val="20"/>
                <w:szCs w:val="20"/>
              </w:rPr>
            </w:r>
          </w:p>
        </w:tc>
        <w:tc>
          <w:tcPr>
            <w:tcBorders/>
            <w:tcW w:w="1672" w:type="dxa"/>
            <w:vAlign w:val="center"/>
          </w:tcPr>
          <w:p w14:paraId="7898B9D3" w14:textId="77777777">
            <w:pPr>
              <w:pBdr/>
              <w:spacing/>
              <w:ind/>
              <w:jc w:val="center"/>
              <w:rPr>
                <w:rFonts w:ascii="Georgia" w:hAnsi="Georgia" w:cstheme="minorHAnsi"/>
                <w:sz w:val="20"/>
                <w:szCs w:val="20"/>
              </w:rPr>
            </w:pPr>
            <w:r>
              <w:rPr>
                <w:rFonts w:ascii="Georgia" w:hAnsi="Georgia" w:cstheme="minorHAnsi"/>
                <w:sz w:val="20"/>
                <w:szCs w:val="20"/>
              </w:rPr>
              <w:t xml:space="preserve">9,74%</w:t>
            </w:r>
            <w:r>
              <w:rPr>
                <w:rFonts w:ascii="Georgia" w:hAnsi="Georgia" w:cstheme="minorHAnsi"/>
                <w:sz w:val="20"/>
                <w:szCs w:val="20"/>
              </w:rPr>
            </w:r>
          </w:p>
        </w:tc>
      </w:tr>
      <w:tr>
        <w:trPr>
          <w:jc w:val="center"/>
          <w:trHeight w:val="319"/>
        </w:trPr>
        <w:tc>
          <w:tcPr>
            <w:tcBorders/>
            <w:tcW w:w="6065" w:type="dxa"/>
            <w:vAlign w:val="center"/>
          </w:tcPr>
          <w:p w14:paraId="12F8F76D" w14:textId="77777777">
            <w:pPr>
              <w:pBdr/>
              <w:spacing/>
              <w:ind/>
              <w:rPr>
                <w:rFonts w:ascii="Georgia" w:hAnsi="Georgia" w:cstheme="minorHAnsi"/>
                <w:sz w:val="20"/>
                <w:szCs w:val="20"/>
              </w:rPr>
            </w:pPr>
            <w:r>
              <w:rPr>
                <w:rFonts w:ascii="Georgia" w:hAnsi="Georgia" w:cstheme="minorHAnsi"/>
                <w:sz w:val="20"/>
                <w:szCs w:val="20"/>
              </w:rPr>
              <w:t xml:space="preserve">Atividades de atendimento hospitalar (exceto pronto-socorro e urgência)</w:t>
            </w:r>
            <w:r>
              <w:rPr>
                <w:rFonts w:ascii="Georgia" w:hAnsi="Georgia" w:cstheme="minorHAnsi"/>
                <w:sz w:val="20"/>
                <w:szCs w:val="20"/>
              </w:rPr>
            </w:r>
          </w:p>
        </w:tc>
        <w:tc>
          <w:tcPr>
            <w:tcBorders/>
            <w:tcW w:w="1672" w:type="dxa"/>
            <w:vAlign w:val="center"/>
          </w:tcPr>
          <w:p w14:paraId="7438D6BA" w14:textId="77777777">
            <w:pPr>
              <w:pBdr/>
              <w:spacing/>
              <w:ind/>
              <w:jc w:val="center"/>
              <w:rPr>
                <w:rFonts w:ascii="Georgia" w:hAnsi="Georgia" w:cstheme="minorHAnsi"/>
                <w:sz w:val="20"/>
                <w:szCs w:val="20"/>
              </w:rPr>
            </w:pPr>
            <w:r>
              <w:rPr>
                <w:rFonts w:ascii="Georgia" w:hAnsi="Georgia" w:cstheme="minorHAnsi"/>
                <w:sz w:val="20"/>
                <w:szCs w:val="20"/>
              </w:rPr>
              <w:t xml:space="preserve">9,04%</w:t>
            </w:r>
            <w:r>
              <w:rPr>
                <w:rFonts w:ascii="Georgia" w:hAnsi="Georgia" w:cstheme="minorHAnsi"/>
                <w:sz w:val="20"/>
                <w:szCs w:val="20"/>
              </w:rPr>
            </w:r>
          </w:p>
        </w:tc>
      </w:tr>
      <w:tr>
        <w:trPr>
          <w:jc w:val="center"/>
          <w:trHeight w:val="308"/>
        </w:trPr>
        <w:tc>
          <w:tcPr>
            <w:tcBorders/>
            <w:tcW w:w="6065" w:type="dxa"/>
            <w:vAlign w:val="center"/>
          </w:tcPr>
          <w:p w14:paraId="6AD285A4" w14:textId="77777777">
            <w:pPr>
              <w:pBdr/>
              <w:spacing/>
              <w:ind/>
              <w:rPr>
                <w:rFonts w:ascii="Georgia" w:hAnsi="Georgia" w:cstheme="minorHAnsi"/>
                <w:sz w:val="20"/>
                <w:szCs w:val="20"/>
              </w:rPr>
            </w:pPr>
            <w:r>
              <w:rPr>
                <w:rFonts w:ascii="Georgia" w:hAnsi="Georgia" w:cstheme="minorHAnsi"/>
                <w:sz w:val="20"/>
                <w:szCs w:val="20"/>
              </w:rPr>
              <w:t xml:space="preserve">Construção de edifícios</w:t>
            </w:r>
            <w:r>
              <w:rPr>
                <w:rFonts w:ascii="Georgia" w:hAnsi="Georgia" w:cstheme="minorHAnsi"/>
                <w:sz w:val="20"/>
                <w:szCs w:val="20"/>
              </w:rPr>
            </w:r>
          </w:p>
        </w:tc>
        <w:tc>
          <w:tcPr>
            <w:tcBorders/>
            <w:tcW w:w="1672" w:type="dxa"/>
            <w:vAlign w:val="center"/>
          </w:tcPr>
          <w:p w14:paraId="295DCA55" w14:textId="77777777">
            <w:pPr>
              <w:pBdr/>
              <w:spacing/>
              <w:ind/>
              <w:jc w:val="center"/>
              <w:rPr>
                <w:rFonts w:ascii="Georgia" w:hAnsi="Georgia" w:cstheme="minorHAnsi"/>
                <w:sz w:val="20"/>
                <w:szCs w:val="20"/>
              </w:rPr>
            </w:pPr>
            <w:r>
              <w:rPr>
                <w:rFonts w:ascii="Georgia" w:hAnsi="Georgia" w:cstheme="minorHAnsi"/>
                <w:sz w:val="20"/>
                <w:szCs w:val="20"/>
              </w:rPr>
              <w:t xml:space="preserve">6,58%</w:t>
            </w:r>
            <w:r>
              <w:rPr>
                <w:rFonts w:ascii="Georgia" w:hAnsi="Georgia" w:cstheme="minorHAnsi"/>
                <w:sz w:val="20"/>
                <w:szCs w:val="20"/>
              </w:rPr>
            </w:r>
          </w:p>
        </w:tc>
      </w:tr>
      <w:tr>
        <w:trPr>
          <w:jc w:val="center"/>
          <w:trHeight w:val="528"/>
        </w:trPr>
        <w:tc>
          <w:tcPr>
            <w:tcBorders/>
            <w:tcW w:w="6065" w:type="dxa"/>
            <w:vAlign w:val="center"/>
          </w:tcPr>
          <w:p w14:paraId="2C9A923E" w14:textId="77777777">
            <w:pPr>
              <w:pBdr/>
              <w:spacing/>
              <w:ind/>
              <w:rPr>
                <w:rFonts w:ascii="Georgia" w:hAnsi="Georgia" w:cstheme="minorHAnsi"/>
                <w:sz w:val="20"/>
                <w:szCs w:val="20"/>
              </w:rPr>
            </w:pPr>
            <w:r>
              <w:rPr>
                <w:rFonts w:ascii="Georgia" w:hAnsi="Georgia" w:cstheme="minorHAnsi"/>
                <w:sz w:val="20"/>
                <w:szCs w:val="20"/>
              </w:rPr>
              <w:t xml:space="preserve">Comércio atacadista de defensivos agrícolas, adubos, fertilizantes e corretivos do solo</w:t>
            </w:r>
            <w:r>
              <w:rPr>
                <w:rFonts w:ascii="Georgia" w:hAnsi="Georgia" w:cstheme="minorHAnsi"/>
                <w:sz w:val="20"/>
                <w:szCs w:val="20"/>
              </w:rPr>
            </w:r>
          </w:p>
        </w:tc>
        <w:tc>
          <w:tcPr>
            <w:tcBorders/>
            <w:tcW w:w="1672" w:type="dxa"/>
            <w:vAlign w:val="center"/>
          </w:tcPr>
          <w:p w14:paraId="40E92FB6" w14:textId="77777777">
            <w:pPr>
              <w:pBdr/>
              <w:spacing/>
              <w:ind/>
              <w:jc w:val="center"/>
              <w:rPr>
                <w:rFonts w:ascii="Georgia" w:hAnsi="Georgia" w:cstheme="minorHAnsi"/>
                <w:sz w:val="20"/>
                <w:szCs w:val="20"/>
              </w:rPr>
            </w:pPr>
            <w:r>
              <w:rPr>
                <w:rFonts w:ascii="Georgia" w:hAnsi="Georgia" w:cstheme="minorHAnsi"/>
                <w:sz w:val="20"/>
                <w:szCs w:val="20"/>
              </w:rPr>
              <w:t xml:space="preserve">6,48%</w:t>
            </w:r>
            <w:r>
              <w:rPr>
                <w:rFonts w:ascii="Georgia" w:hAnsi="Georgia" w:cstheme="minorHAnsi"/>
                <w:sz w:val="20"/>
                <w:szCs w:val="20"/>
              </w:rPr>
            </w:r>
          </w:p>
        </w:tc>
      </w:tr>
      <w:tr>
        <w:trPr>
          <w:jc w:val="center"/>
          <w:trHeight w:val="319"/>
        </w:trPr>
        <w:tc>
          <w:tcPr>
            <w:tcBorders/>
            <w:tcW w:w="6065" w:type="dxa"/>
            <w:vAlign w:val="center"/>
          </w:tcPr>
          <w:p w14:paraId="1D7B0EED" w14:textId="77777777">
            <w:pPr>
              <w:pBdr/>
              <w:spacing/>
              <w:ind/>
              <w:rPr>
                <w:rFonts w:ascii="Georgia" w:hAnsi="Georgia" w:cstheme="minorHAnsi"/>
                <w:sz w:val="20"/>
                <w:szCs w:val="20"/>
              </w:rPr>
            </w:pPr>
            <w:r>
              <w:rPr>
                <w:rFonts w:ascii="Georgia" w:hAnsi="Georgia" w:cstheme="minorHAnsi"/>
                <w:sz w:val="20"/>
                <w:szCs w:val="20"/>
              </w:rPr>
              <w:t xml:space="preserve">Recuperação de materiais plásticos</w:t>
            </w:r>
            <w:r>
              <w:rPr>
                <w:rFonts w:ascii="Georgia" w:hAnsi="Georgia" w:cstheme="minorHAnsi"/>
                <w:sz w:val="20"/>
                <w:szCs w:val="20"/>
              </w:rPr>
            </w:r>
          </w:p>
        </w:tc>
        <w:tc>
          <w:tcPr>
            <w:tcBorders/>
            <w:tcW w:w="1672" w:type="dxa"/>
            <w:vAlign w:val="center"/>
          </w:tcPr>
          <w:p w14:paraId="14F86F12" w14:textId="77777777">
            <w:pPr>
              <w:pBdr/>
              <w:spacing/>
              <w:ind/>
              <w:jc w:val="center"/>
              <w:rPr>
                <w:rFonts w:ascii="Georgia" w:hAnsi="Georgia" w:cstheme="minorHAnsi"/>
                <w:sz w:val="20"/>
                <w:szCs w:val="20"/>
              </w:rPr>
            </w:pPr>
            <w:r>
              <w:rPr>
                <w:rFonts w:ascii="Georgia" w:hAnsi="Georgia" w:cstheme="minorHAnsi"/>
                <w:sz w:val="20"/>
                <w:szCs w:val="20"/>
              </w:rPr>
              <w:t xml:space="preserve">5,92%</w:t>
            </w:r>
            <w:r>
              <w:rPr>
                <w:rFonts w:ascii="Georgia" w:hAnsi="Georgia" w:cstheme="minorHAnsi"/>
                <w:sz w:val="20"/>
                <w:szCs w:val="20"/>
              </w:rPr>
            </w:r>
          </w:p>
        </w:tc>
      </w:tr>
      <w:tr>
        <w:trPr>
          <w:jc w:val="center"/>
          <w:trHeight w:val="319"/>
        </w:trPr>
        <w:tc>
          <w:tcPr>
            <w:tcBorders/>
            <w:tcW w:w="6065" w:type="dxa"/>
            <w:vAlign w:val="center"/>
          </w:tcPr>
          <w:p w14:paraId="6AAEE16A" w14:textId="77777777">
            <w:pPr>
              <w:pBdr/>
              <w:spacing/>
              <w:ind/>
              <w:rPr>
                <w:rFonts w:ascii="Georgia" w:hAnsi="Georgia" w:cstheme="minorHAnsi"/>
                <w:sz w:val="20"/>
                <w:szCs w:val="20"/>
              </w:rPr>
            </w:pPr>
            <w:r>
              <w:rPr>
                <w:rFonts w:ascii="Georgia" w:hAnsi="Georgia" w:cstheme="minorHAnsi"/>
                <w:sz w:val="20"/>
                <w:szCs w:val="20"/>
              </w:rPr>
              <w:t xml:space="preserve">Manutenção de redes de distribuição de energia elétrica</w:t>
            </w:r>
            <w:r>
              <w:rPr>
                <w:rFonts w:ascii="Georgia" w:hAnsi="Georgia" w:cstheme="minorHAnsi"/>
                <w:sz w:val="20"/>
                <w:szCs w:val="20"/>
              </w:rPr>
            </w:r>
          </w:p>
        </w:tc>
        <w:tc>
          <w:tcPr>
            <w:tcBorders/>
            <w:tcW w:w="1672" w:type="dxa"/>
            <w:vAlign w:val="center"/>
          </w:tcPr>
          <w:p w14:paraId="520AA21B" w14:textId="77777777">
            <w:pPr>
              <w:pBdr/>
              <w:spacing/>
              <w:ind/>
              <w:jc w:val="center"/>
              <w:rPr>
                <w:rFonts w:ascii="Georgia" w:hAnsi="Georgia" w:cstheme="minorHAnsi"/>
                <w:sz w:val="20"/>
                <w:szCs w:val="20"/>
              </w:rPr>
            </w:pPr>
            <w:r>
              <w:rPr>
                <w:rFonts w:ascii="Georgia" w:hAnsi="Georgia" w:cstheme="minorHAnsi"/>
                <w:sz w:val="20"/>
                <w:szCs w:val="20"/>
              </w:rPr>
              <w:t xml:space="preserve">5,62%</w:t>
            </w:r>
            <w:r>
              <w:rPr>
                <w:rFonts w:ascii="Georgia" w:hAnsi="Georgia" w:cstheme="minorHAnsi"/>
                <w:sz w:val="20"/>
                <w:szCs w:val="20"/>
              </w:rPr>
            </w:r>
          </w:p>
        </w:tc>
      </w:tr>
      <w:tr>
        <w:trPr>
          <w:jc w:val="center"/>
          <w:trHeight w:val="319"/>
        </w:trPr>
        <w:tc>
          <w:tcPr>
            <w:tcBorders/>
            <w:tcW w:w="6065" w:type="dxa"/>
            <w:vAlign w:val="center"/>
          </w:tcPr>
          <w:p w14:paraId="17AC8D47" w14:textId="77777777">
            <w:pPr>
              <w:pBdr/>
              <w:spacing/>
              <w:ind/>
              <w:rPr>
                <w:rFonts w:ascii="Georgia" w:hAnsi="Georgia" w:cstheme="minorHAnsi"/>
                <w:sz w:val="20"/>
                <w:szCs w:val="20"/>
              </w:rPr>
            </w:pPr>
            <w:r>
              <w:rPr>
                <w:rFonts w:ascii="Georgia" w:hAnsi="Georgia" w:cstheme="minorHAnsi"/>
                <w:sz w:val="20"/>
                <w:szCs w:val="20"/>
              </w:rPr>
              <w:t xml:space="preserve">Comércio atacadista de produtos alimentícios em geral</w:t>
            </w:r>
            <w:r>
              <w:rPr>
                <w:rFonts w:ascii="Georgia" w:hAnsi="Georgia" w:cstheme="minorHAnsi"/>
                <w:sz w:val="20"/>
                <w:szCs w:val="20"/>
              </w:rPr>
            </w:r>
          </w:p>
        </w:tc>
        <w:tc>
          <w:tcPr>
            <w:tcBorders/>
            <w:tcW w:w="1672" w:type="dxa"/>
            <w:vAlign w:val="center"/>
          </w:tcPr>
          <w:p w14:paraId="51B490B8" w14:textId="77777777">
            <w:pPr>
              <w:pBdr/>
              <w:spacing/>
              <w:ind/>
              <w:jc w:val="center"/>
              <w:rPr>
                <w:rFonts w:ascii="Georgia" w:hAnsi="Georgia" w:cstheme="minorHAnsi"/>
                <w:sz w:val="20"/>
                <w:szCs w:val="20"/>
              </w:rPr>
            </w:pPr>
            <w:r>
              <w:rPr>
                <w:rFonts w:ascii="Georgia" w:hAnsi="Georgia" w:cstheme="minorHAnsi"/>
                <w:sz w:val="20"/>
                <w:szCs w:val="20"/>
              </w:rPr>
              <w:t xml:space="preserve">5,22%</w:t>
            </w:r>
            <w:r>
              <w:rPr>
                <w:rFonts w:ascii="Georgia" w:hAnsi="Georgia" w:cstheme="minorHAnsi"/>
                <w:sz w:val="20"/>
                <w:szCs w:val="20"/>
              </w:rPr>
            </w:r>
          </w:p>
        </w:tc>
      </w:tr>
      <w:tr>
        <w:trPr>
          <w:jc w:val="center"/>
          <w:trHeight w:val="308"/>
        </w:trPr>
        <w:tc>
          <w:tcPr>
            <w:tcBorders/>
            <w:tcW w:w="6065" w:type="dxa"/>
            <w:vAlign w:val="center"/>
          </w:tcPr>
          <w:p w14:paraId="5D3E3F64" w14:textId="77777777">
            <w:pPr>
              <w:pBdr/>
              <w:spacing/>
              <w:ind/>
              <w:rPr>
                <w:rFonts w:ascii="Georgia" w:hAnsi="Georgia" w:cstheme="minorHAnsi"/>
                <w:sz w:val="20"/>
                <w:szCs w:val="20"/>
              </w:rPr>
            </w:pPr>
            <w:r>
              <w:rPr>
                <w:rFonts w:ascii="Georgia" w:hAnsi="Georgia" w:cstheme="minorHAnsi"/>
                <w:sz w:val="20"/>
                <w:szCs w:val="20"/>
              </w:rPr>
              <w:t xml:space="preserve">Comércio atacadista de medicamentos e drogas de uso humano</w:t>
            </w:r>
            <w:r>
              <w:rPr>
                <w:rFonts w:ascii="Georgia" w:hAnsi="Georgia" w:cstheme="minorHAnsi"/>
                <w:sz w:val="20"/>
                <w:szCs w:val="20"/>
              </w:rPr>
            </w:r>
          </w:p>
        </w:tc>
        <w:tc>
          <w:tcPr>
            <w:tcBorders/>
            <w:tcW w:w="1672" w:type="dxa"/>
            <w:vAlign w:val="center"/>
          </w:tcPr>
          <w:p w14:paraId="3812D62A" w14:textId="77777777">
            <w:pPr>
              <w:pBdr/>
              <w:spacing/>
              <w:ind/>
              <w:jc w:val="center"/>
              <w:rPr>
                <w:rFonts w:ascii="Georgia" w:hAnsi="Georgia" w:cstheme="minorHAnsi"/>
                <w:sz w:val="20"/>
                <w:szCs w:val="20"/>
              </w:rPr>
            </w:pPr>
            <w:r>
              <w:rPr>
                <w:rFonts w:ascii="Georgia" w:hAnsi="Georgia" w:cstheme="minorHAnsi"/>
                <w:sz w:val="20"/>
                <w:szCs w:val="20"/>
              </w:rPr>
              <w:t xml:space="preserve">4,37%</w:t>
            </w:r>
            <w:r>
              <w:rPr>
                <w:rFonts w:ascii="Georgia" w:hAnsi="Georgia" w:cstheme="minorHAnsi"/>
                <w:sz w:val="20"/>
                <w:szCs w:val="20"/>
              </w:rPr>
            </w:r>
          </w:p>
        </w:tc>
      </w:tr>
      <w:tr>
        <w:trPr>
          <w:jc w:val="center"/>
          <w:trHeight w:val="319"/>
        </w:trPr>
        <w:tc>
          <w:tcPr>
            <w:tcBorders/>
            <w:tcW w:w="6065" w:type="dxa"/>
            <w:vAlign w:val="center"/>
          </w:tcPr>
          <w:p w14:paraId="61C3C252" w14:textId="77777777">
            <w:pPr>
              <w:pBdr/>
              <w:spacing/>
              <w:ind/>
              <w:rPr>
                <w:rFonts w:ascii="Georgia" w:hAnsi="Georgia" w:cstheme="minorHAnsi"/>
                <w:sz w:val="20"/>
                <w:szCs w:val="20"/>
              </w:rPr>
            </w:pPr>
            <w:r>
              <w:rPr>
                <w:rFonts w:ascii="Georgia" w:hAnsi="Georgia" w:cstheme="minorHAnsi"/>
                <w:sz w:val="20"/>
                <w:szCs w:val="20"/>
              </w:rPr>
              <w:t xml:space="preserve">Obras de alvenaria</w:t>
            </w:r>
            <w:r>
              <w:rPr>
                <w:rFonts w:ascii="Georgia" w:hAnsi="Georgia" w:cstheme="minorHAnsi"/>
                <w:sz w:val="20"/>
                <w:szCs w:val="20"/>
              </w:rPr>
            </w:r>
          </w:p>
        </w:tc>
        <w:tc>
          <w:tcPr>
            <w:tcBorders/>
            <w:tcW w:w="1672" w:type="dxa"/>
            <w:vAlign w:val="center"/>
          </w:tcPr>
          <w:p w14:paraId="2E02AFE9" w14:textId="77777777">
            <w:pPr>
              <w:pBdr/>
              <w:spacing/>
              <w:ind/>
              <w:jc w:val="center"/>
              <w:rPr>
                <w:rFonts w:ascii="Georgia" w:hAnsi="Georgia" w:cstheme="minorHAnsi"/>
                <w:sz w:val="20"/>
                <w:szCs w:val="20"/>
              </w:rPr>
            </w:pPr>
            <w:r>
              <w:rPr>
                <w:rFonts w:ascii="Georgia" w:hAnsi="Georgia" w:cstheme="minorHAnsi"/>
                <w:sz w:val="20"/>
                <w:szCs w:val="20"/>
              </w:rPr>
              <w:t xml:space="preserve">4,37%</w:t>
            </w:r>
            <w:r>
              <w:rPr>
                <w:rFonts w:ascii="Georgia" w:hAnsi="Georgia" w:cstheme="minorHAnsi"/>
                <w:sz w:val="20"/>
                <w:szCs w:val="20"/>
              </w:rPr>
            </w:r>
          </w:p>
        </w:tc>
      </w:tr>
      <w:tr>
        <w:trPr>
          <w:jc w:val="center"/>
          <w:trHeight w:val="319"/>
        </w:trPr>
        <w:tc>
          <w:tcPr>
            <w:tcBorders/>
            <w:tcW w:w="6065" w:type="dxa"/>
            <w:vAlign w:val="center"/>
          </w:tcPr>
          <w:p w14:paraId="3F7E1A9B" w14:textId="77777777">
            <w:pPr>
              <w:pBdr/>
              <w:spacing/>
              <w:ind/>
              <w:rPr>
                <w:rFonts w:ascii="Georgia" w:hAnsi="Georgia" w:cstheme="minorHAnsi"/>
                <w:sz w:val="20"/>
                <w:szCs w:val="20"/>
              </w:rPr>
            </w:pPr>
            <w:r>
              <w:rPr>
                <w:rFonts w:ascii="Georgia" w:hAnsi="Georgia" w:cstheme="minorHAnsi"/>
                <w:sz w:val="20"/>
                <w:szCs w:val="20"/>
              </w:rPr>
              <w:t xml:space="preserve">Outras obras de engenharia civil não especificadas anteriormente</w:t>
            </w:r>
            <w:r>
              <w:rPr>
                <w:rFonts w:ascii="Georgia" w:hAnsi="Georgia" w:cstheme="minorHAnsi"/>
                <w:sz w:val="20"/>
                <w:szCs w:val="20"/>
              </w:rPr>
            </w:r>
          </w:p>
        </w:tc>
        <w:tc>
          <w:tcPr>
            <w:tcBorders/>
            <w:tcW w:w="1672" w:type="dxa"/>
            <w:vAlign w:val="center"/>
          </w:tcPr>
          <w:p w14:paraId="63CF8938" w14:textId="77777777">
            <w:pPr>
              <w:pBdr/>
              <w:spacing/>
              <w:ind/>
              <w:jc w:val="center"/>
              <w:rPr>
                <w:rFonts w:ascii="Georgia" w:hAnsi="Georgia" w:cstheme="minorHAnsi"/>
                <w:sz w:val="20"/>
                <w:szCs w:val="20"/>
              </w:rPr>
            </w:pPr>
            <w:r>
              <w:rPr>
                <w:rFonts w:ascii="Georgia" w:hAnsi="Georgia" w:cstheme="minorHAnsi"/>
                <w:sz w:val="20"/>
                <w:szCs w:val="20"/>
              </w:rPr>
              <w:t xml:space="preserve">3,82%</w:t>
            </w:r>
            <w:r>
              <w:rPr>
                <w:rFonts w:ascii="Georgia" w:hAnsi="Georgia" w:cstheme="minorHAnsi"/>
                <w:sz w:val="20"/>
                <w:szCs w:val="20"/>
              </w:rPr>
            </w:r>
          </w:p>
        </w:tc>
      </w:tr>
      <w:tr>
        <w:trPr>
          <w:jc w:val="center"/>
          <w:trHeight w:val="319"/>
        </w:trPr>
        <w:tc>
          <w:tcPr>
            <w:tcBorders/>
            <w:tcW w:w="6065" w:type="dxa"/>
            <w:vAlign w:val="center"/>
          </w:tcPr>
          <w:p w14:paraId="676FE43A" w14:textId="77777777">
            <w:pPr>
              <w:pBdr/>
              <w:spacing/>
              <w:ind/>
              <w:rPr>
                <w:rFonts w:ascii="Georgia" w:hAnsi="Georgia" w:cstheme="minorHAnsi"/>
                <w:sz w:val="20"/>
                <w:szCs w:val="20"/>
              </w:rPr>
            </w:pPr>
            <w:r>
              <w:rPr>
                <w:rFonts w:ascii="Georgia" w:hAnsi="Georgia" w:cstheme="minorHAnsi"/>
                <w:sz w:val="20"/>
                <w:szCs w:val="20"/>
              </w:rPr>
              <w:t xml:space="preserve">Fabricação de esquadrias de metal</w:t>
            </w:r>
            <w:r>
              <w:rPr>
                <w:rFonts w:ascii="Georgia" w:hAnsi="Georgia" w:cstheme="minorHAnsi"/>
                <w:sz w:val="20"/>
                <w:szCs w:val="20"/>
              </w:rPr>
            </w:r>
          </w:p>
        </w:tc>
        <w:tc>
          <w:tcPr>
            <w:tcBorders/>
            <w:tcW w:w="1672" w:type="dxa"/>
            <w:vAlign w:val="center"/>
          </w:tcPr>
          <w:p w14:paraId="4A9362A8" w14:textId="77777777">
            <w:pPr>
              <w:pBdr/>
              <w:spacing/>
              <w:ind/>
              <w:jc w:val="center"/>
              <w:rPr>
                <w:rFonts w:ascii="Georgia" w:hAnsi="Georgia" w:cstheme="minorHAnsi"/>
                <w:sz w:val="20"/>
                <w:szCs w:val="20"/>
              </w:rPr>
            </w:pPr>
            <w:r>
              <w:rPr>
                <w:rFonts w:ascii="Georgia" w:hAnsi="Georgia" w:cstheme="minorHAnsi"/>
                <w:sz w:val="20"/>
                <w:szCs w:val="20"/>
              </w:rPr>
              <w:t xml:space="preserve">3,77%</w:t>
            </w:r>
            <w:r>
              <w:rPr>
                <w:rFonts w:ascii="Georgia" w:hAnsi="Georgia" w:cstheme="minorHAnsi"/>
                <w:sz w:val="20"/>
                <w:szCs w:val="20"/>
              </w:rPr>
            </w:r>
          </w:p>
        </w:tc>
      </w:tr>
      <w:tr>
        <w:trPr>
          <w:jc w:val="center"/>
          <w:trHeight w:val="517"/>
        </w:trPr>
        <w:tc>
          <w:tcPr>
            <w:tcBorders/>
            <w:tcW w:w="6065" w:type="dxa"/>
            <w:vAlign w:val="center"/>
          </w:tcPr>
          <w:p w14:paraId="1733C55A" w14:textId="77777777">
            <w:pPr>
              <w:pBdr/>
              <w:spacing/>
              <w:ind/>
              <w:rPr>
                <w:rFonts w:ascii="Georgia" w:hAnsi="Georgia" w:cstheme="minorHAnsi"/>
                <w:sz w:val="20"/>
                <w:szCs w:val="20"/>
              </w:rPr>
            </w:pPr>
            <w:r>
              <w:rPr>
                <w:rFonts w:ascii="Georgia" w:hAnsi="Georgia" w:cstheme="minorHAnsi"/>
                <w:sz w:val="20"/>
                <w:szCs w:val="20"/>
              </w:rPr>
              <w:t xml:space="preserve">Comércio varejista de mercadorias em geral (com predominância de alimentos – supermercados)</w:t>
            </w:r>
            <w:r>
              <w:rPr>
                <w:rFonts w:ascii="Georgia" w:hAnsi="Georgia" w:cstheme="minorHAnsi"/>
                <w:sz w:val="20"/>
                <w:szCs w:val="20"/>
              </w:rPr>
            </w:r>
          </w:p>
        </w:tc>
        <w:tc>
          <w:tcPr>
            <w:tcBorders/>
            <w:tcW w:w="1672" w:type="dxa"/>
            <w:vAlign w:val="center"/>
          </w:tcPr>
          <w:p w14:paraId="3826C84A" w14:textId="77777777">
            <w:pPr>
              <w:pBdr/>
              <w:spacing/>
              <w:ind/>
              <w:jc w:val="center"/>
              <w:rPr>
                <w:rFonts w:ascii="Georgia" w:hAnsi="Georgia" w:cstheme="minorHAnsi"/>
                <w:sz w:val="20"/>
                <w:szCs w:val="20"/>
              </w:rPr>
            </w:pPr>
            <w:r>
              <w:rPr>
                <w:rFonts w:ascii="Georgia" w:hAnsi="Georgia" w:cstheme="minorHAnsi"/>
                <w:sz w:val="20"/>
                <w:szCs w:val="20"/>
              </w:rPr>
              <w:t xml:space="preserve">3,66%</w:t>
            </w:r>
            <w:r>
              <w:rPr>
                <w:rFonts w:ascii="Georgia" w:hAnsi="Georgia" w:cstheme="minorHAnsi"/>
                <w:sz w:val="20"/>
                <w:szCs w:val="20"/>
              </w:rPr>
            </w:r>
          </w:p>
        </w:tc>
      </w:tr>
      <w:tr>
        <w:trPr>
          <w:jc w:val="center"/>
          <w:trHeight w:val="528"/>
        </w:trPr>
        <w:tc>
          <w:tcPr>
            <w:tcBorders/>
            <w:tcW w:w="6065" w:type="dxa"/>
            <w:vAlign w:val="center"/>
          </w:tcPr>
          <w:p w14:paraId="70D50008" w14:textId="77777777">
            <w:pPr>
              <w:pBdr/>
              <w:spacing/>
              <w:ind/>
              <w:rPr>
                <w:rFonts w:ascii="Georgia" w:hAnsi="Georgia" w:cstheme="minorHAnsi"/>
                <w:sz w:val="20"/>
                <w:szCs w:val="20"/>
              </w:rPr>
            </w:pPr>
            <w:r>
              <w:rPr>
                <w:rFonts w:ascii="Georgia" w:hAnsi="Georgia" w:cstheme="minorHAnsi"/>
                <w:sz w:val="20"/>
                <w:szCs w:val="20"/>
              </w:rPr>
              <w:t xml:space="preserve">Transporte rodoviário de carga (exceto produtos perigosos e mudanças – intermunicipal, interestadual, etc.)</w:t>
            </w:r>
            <w:r>
              <w:rPr>
                <w:rFonts w:ascii="Georgia" w:hAnsi="Georgia" w:cstheme="minorHAnsi"/>
                <w:sz w:val="20"/>
                <w:szCs w:val="20"/>
              </w:rPr>
            </w:r>
          </w:p>
        </w:tc>
        <w:tc>
          <w:tcPr>
            <w:tcBorders/>
            <w:tcW w:w="1672" w:type="dxa"/>
            <w:vAlign w:val="center"/>
          </w:tcPr>
          <w:p w14:paraId="366F24B9" w14:textId="77777777">
            <w:pPr>
              <w:pBdr/>
              <w:spacing/>
              <w:ind/>
              <w:jc w:val="center"/>
              <w:rPr>
                <w:rFonts w:ascii="Georgia" w:hAnsi="Georgia" w:cstheme="minorHAnsi"/>
                <w:sz w:val="20"/>
                <w:szCs w:val="20"/>
              </w:rPr>
            </w:pPr>
            <w:r>
              <w:rPr>
                <w:rFonts w:ascii="Georgia" w:hAnsi="Georgia" w:cstheme="minorHAnsi"/>
                <w:sz w:val="20"/>
                <w:szCs w:val="20"/>
              </w:rPr>
              <w:t xml:space="preserve">3,06%</w:t>
            </w:r>
            <w:r>
              <w:rPr>
                <w:rFonts w:ascii="Georgia" w:hAnsi="Georgia" w:cstheme="minorHAnsi"/>
                <w:sz w:val="20"/>
                <w:szCs w:val="20"/>
              </w:rPr>
            </w:r>
          </w:p>
        </w:tc>
      </w:tr>
    </w:tbl>
    <w:p w14:paraId="24F6CEB9" w14:textId="77777777">
      <w:pPr>
        <w:pBdr/>
        <w:spacing w:after="0" w:line="240" w:lineRule="auto"/>
        <w:ind/>
        <w:jc w:val="center"/>
        <w:rPr>
          <w:rFonts w:ascii="Georgia" w:hAnsi="Georgia" w:cstheme="minorHAnsi"/>
          <w:sz w:val="20"/>
          <w:szCs w:val="20"/>
        </w:rPr>
      </w:pPr>
      <w:r>
        <w:rPr>
          <w:rFonts w:ascii="Georgia" w:hAnsi="Georgia" w:cstheme="minorHAnsi"/>
          <w:sz w:val="20"/>
          <w:szCs w:val="20"/>
        </w:rPr>
        <w:t xml:space="preserve">Fonte: Minas Gerais, Busca Ativa de Vagas, 2024.</w:t>
      </w:r>
      <w:r>
        <w:rPr>
          <w:rFonts w:ascii="Georgia" w:hAnsi="Georgia" w:cstheme="minorHAnsi"/>
          <w:sz w:val="20"/>
          <w:szCs w:val="20"/>
        </w:rPr>
      </w:r>
    </w:p>
    <w:p w14:paraId="2B655E1C" w14:textId="77777777">
      <w:pPr>
        <w:pBdr/>
        <w:spacing w:after="120" w:line="360" w:lineRule="auto"/>
        <w:ind/>
        <w:jc w:val="center"/>
        <w:rPr>
          <w:rFonts w:ascii="Georgia" w:hAnsi="Georgia" w:cstheme="minorHAnsi"/>
          <w:sz w:val="20"/>
          <w:szCs w:val="20"/>
        </w:rPr>
      </w:pPr>
      <w:r>
        <w:rPr>
          <w:rFonts w:ascii="Georgia" w:hAnsi="Georgia" w:cstheme="minorHAnsi"/>
          <w:sz w:val="20"/>
          <w:szCs w:val="20"/>
        </w:rPr>
      </w:r>
      <w:r>
        <w:rPr>
          <w:rFonts w:ascii="Georgia" w:hAnsi="Georgia" w:cstheme="minorHAnsi"/>
          <w:sz w:val="20"/>
          <w:szCs w:val="20"/>
        </w:rPr>
      </w:r>
    </w:p>
    <w:p w14:paraId="6AD815E9" w14:textId="77777777">
      <w:pPr>
        <w:pBdr/>
        <w:spacing w:after="120" w:line="360" w:lineRule="auto"/>
        <w:ind w:firstLine="700"/>
        <w:jc w:val="both"/>
        <w:rPr>
          <w:rFonts w:ascii="Georgia" w:hAnsi="Georgia" w:cstheme="minorHAnsi"/>
          <w:sz w:val="24"/>
          <w:szCs w:val="24"/>
        </w:rPr>
      </w:pPr>
      <w:r>
        <w:rPr>
          <w:rFonts w:ascii="Georgia" w:hAnsi="Georgia" w:cstheme="minorHAnsi"/>
          <w:sz w:val="24"/>
          <w:szCs w:val="24"/>
        </w:rPr>
        <w:t xml:space="preserve"> Entretanto, atentando-se ao número de empregos no município, segundo o critério dos vínculos ativos, os três subsetores com mais ocupações são o comércio varejista, o ensino e a administração pública (Tabela 3). </w:t>
      </w:r>
      <w:r>
        <w:rPr>
          <w:rFonts w:ascii="Georgia" w:hAnsi="Georgia" w:cstheme="minorHAnsi"/>
          <w:sz w:val="24"/>
          <w:szCs w:val="24"/>
        </w:rPr>
      </w:r>
    </w:p>
    <w:p w14:paraId="2C97EB4F" w14:textId="20AEF131">
      <w:pPr>
        <w:pBdr/>
        <w:spacing w:line="240" w:lineRule="auto"/>
        <w:ind/>
        <w:jc w:val="center"/>
        <w:rPr>
          <w:rFonts w:ascii="Georgia" w:hAnsi="Georgia" w:cstheme="minorHAnsi"/>
          <w:b/>
          <w:sz w:val="24"/>
          <w:szCs w:val="24"/>
        </w:rPr>
      </w:pPr>
      <w:r>
        <w:rPr>
          <w:rFonts w:ascii="Georgia" w:hAnsi="Georgia" w:cstheme="minorHAnsi"/>
          <w:b/>
          <w:sz w:val="24"/>
          <w:szCs w:val="24"/>
        </w:rPr>
        <w:t xml:space="preserve">Tabela 3 </w:t>
      </w:r>
      <w:r>
        <w:rPr>
          <w:rFonts w:ascii="Georgia" w:hAnsi="Georgia" w:cstheme="minorHAnsi"/>
          <w:bCs/>
          <w:sz w:val="24"/>
          <w:szCs w:val="24"/>
        </w:rPr>
        <w:t xml:space="preserve">– Vínculos ativos por subsetor econômico em 31.12.2021</w:t>
      </w:r>
      <w:r>
        <w:rPr>
          <w:rFonts w:ascii="Georgia" w:hAnsi="Georgia" w:cstheme="minorHAnsi"/>
          <w:b/>
          <w:sz w:val="24"/>
          <w:szCs w:val="24"/>
        </w:rPr>
      </w:r>
    </w:p>
    <w:tbl>
      <w:tblPr>
        <w:tblStyle w:val="852"/>
        <w:jc w:val="center"/>
        <w:tblW w:w="0" w:type="auto"/>
        <w:tblBorders/>
        <w:tblLook w:val="04A0" w:firstRow="1" w:lastRow="0" w:firstColumn="1" w:lastColumn="0" w:noHBand="0" w:noVBand="1"/>
      </w:tblPr>
      <w:tblGrid>
        <w:gridCol w:w="5755"/>
        <w:gridCol w:w="2270"/>
      </w:tblGrid>
      <w:tr>
        <w:trPr>
          <w:jc w:val="center"/>
          <w:trHeight w:val="554"/>
        </w:trPr>
        <w:tc>
          <w:tcPr>
            <w:tcBorders/>
            <w:tcW w:w="5755" w:type="dxa"/>
          </w:tcPr>
          <w:p w14:paraId="5B2AF191" w14:textId="77777777">
            <w:pPr>
              <w:pBdr/>
              <w:spacing/>
              <w:ind/>
              <w:rPr>
                <w:rFonts w:ascii="Georgia" w:hAnsi="Georgia" w:cstheme="minorHAnsi"/>
                <w:sz w:val="20"/>
                <w:szCs w:val="20"/>
              </w:rPr>
            </w:pPr>
            <w:r>
              <w:rPr>
                <w:rFonts w:ascii="Georgia" w:hAnsi="Georgia" w:cstheme="minorHAnsi"/>
                <w:b/>
                <w:bCs/>
                <w:sz w:val="20"/>
                <w:szCs w:val="20"/>
              </w:rPr>
              <w:t xml:space="preserve">Subsetor IBGE</w:t>
            </w:r>
            <w:r>
              <w:rPr>
                <w:rFonts w:ascii="Georgia" w:hAnsi="Georgia" w:cstheme="minorHAnsi"/>
                <w:sz w:val="20"/>
                <w:szCs w:val="20"/>
              </w:rPr>
            </w:r>
          </w:p>
        </w:tc>
        <w:tc>
          <w:tcPr>
            <w:tcBorders/>
            <w:tcW w:w="2270" w:type="dxa"/>
          </w:tcPr>
          <w:p w14:paraId="1982268A" w14:textId="77777777">
            <w:pPr>
              <w:pBdr/>
              <w:spacing/>
              <w:ind/>
              <w:jc w:val="center"/>
              <w:rPr>
                <w:rFonts w:ascii="Georgia" w:hAnsi="Georgia" w:cstheme="minorHAnsi"/>
                <w:sz w:val="20"/>
                <w:szCs w:val="20"/>
              </w:rPr>
            </w:pPr>
            <w:r>
              <w:rPr>
                <w:rFonts w:ascii="Georgia" w:hAnsi="Georgia" w:cstheme="minorHAnsi"/>
                <w:b/>
                <w:bCs/>
                <w:sz w:val="20"/>
                <w:szCs w:val="20"/>
              </w:rPr>
              <w:t xml:space="preserve">Total de Vínculos Ativos</w:t>
            </w:r>
            <w:r>
              <w:rPr>
                <w:rFonts w:ascii="Georgia" w:hAnsi="Georgia" w:cstheme="minorHAnsi"/>
                <w:sz w:val="20"/>
                <w:szCs w:val="20"/>
              </w:rPr>
            </w:r>
          </w:p>
        </w:tc>
      </w:tr>
      <w:tr>
        <w:trPr>
          <w:jc w:val="center"/>
          <w:trHeight w:val="323"/>
        </w:trPr>
        <w:tc>
          <w:tcPr>
            <w:tcBorders/>
            <w:tcW w:w="5755" w:type="dxa"/>
            <w:vAlign w:val="center"/>
          </w:tcPr>
          <w:p w14:paraId="61A90830" w14:textId="77777777">
            <w:pPr>
              <w:pBdr/>
              <w:spacing/>
              <w:ind/>
              <w:rPr>
                <w:rFonts w:ascii="Georgia" w:hAnsi="Georgia" w:cstheme="minorHAnsi"/>
                <w:sz w:val="20"/>
                <w:szCs w:val="20"/>
              </w:rPr>
            </w:pPr>
            <w:r>
              <w:rPr>
                <w:rFonts w:ascii="Georgia" w:hAnsi="Georgia" w:cstheme="minorHAnsi"/>
                <w:sz w:val="20"/>
                <w:szCs w:val="20"/>
              </w:rPr>
              <w:t xml:space="preserve">Comércio varejista</w:t>
            </w:r>
            <w:r>
              <w:rPr>
                <w:rFonts w:ascii="Georgia" w:hAnsi="Georgia" w:cstheme="minorHAnsi"/>
                <w:sz w:val="20"/>
                <w:szCs w:val="20"/>
              </w:rPr>
            </w:r>
          </w:p>
        </w:tc>
        <w:tc>
          <w:tcPr>
            <w:tcBorders/>
            <w:tcW w:w="2270" w:type="dxa"/>
            <w:vAlign w:val="center"/>
          </w:tcPr>
          <w:p w14:paraId="2CAC00C4" w14:textId="77777777">
            <w:pPr>
              <w:pBdr/>
              <w:spacing/>
              <w:ind/>
              <w:jc w:val="center"/>
              <w:rPr>
                <w:rFonts w:ascii="Georgia" w:hAnsi="Georgia" w:cstheme="minorHAnsi"/>
                <w:sz w:val="20"/>
                <w:szCs w:val="20"/>
              </w:rPr>
            </w:pPr>
            <w:r>
              <w:rPr>
                <w:rFonts w:ascii="Georgia" w:hAnsi="Georgia" w:cstheme="minorHAnsi"/>
                <w:sz w:val="20"/>
                <w:szCs w:val="20"/>
              </w:rPr>
              <w:t xml:space="preserve">4.372</w:t>
            </w:r>
            <w:r>
              <w:rPr>
                <w:rFonts w:ascii="Georgia" w:hAnsi="Georgia" w:cstheme="minorHAnsi"/>
                <w:sz w:val="20"/>
                <w:szCs w:val="20"/>
              </w:rPr>
            </w:r>
          </w:p>
        </w:tc>
      </w:tr>
      <w:tr>
        <w:trPr>
          <w:jc w:val="center"/>
          <w:trHeight w:val="335"/>
        </w:trPr>
        <w:tc>
          <w:tcPr>
            <w:tcBorders/>
            <w:tcW w:w="5755" w:type="dxa"/>
            <w:vAlign w:val="center"/>
          </w:tcPr>
          <w:p w14:paraId="49ED6EF0" w14:textId="77777777">
            <w:pPr>
              <w:pBdr/>
              <w:spacing/>
              <w:ind/>
              <w:rPr>
                <w:rFonts w:ascii="Georgia" w:hAnsi="Georgia" w:cstheme="minorHAnsi"/>
                <w:sz w:val="20"/>
                <w:szCs w:val="20"/>
              </w:rPr>
            </w:pPr>
            <w:r>
              <w:rPr>
                <w:rFonts w:ascii="Georgia" w:hAnsi="Georgia" w:cstheme="minorHAnsi"/>
                <w:sz w:val="20"/>
                <w:szCs w:val="20"/>
              </w:rPr>
              <w:t xml:space="preserve">Ensino</w:t>
            </w:r>
            <w:r>
              <w:rPr>
                <w:rFonts w:ascii="Georgia" w:hAnsi="Georgia" w:cstheme="minorHAnsi"/>
                <w:sz w:val="20"/>
                <w:szCs w:val="20"/>
              </w:rPr>
            </w:r>
          </w:p>
        </w:tc>
        <w:tc>
          <w:tcPr>
            <w:tcBorders/>
            <w:tcW w:w="2270" w:type="dxa"/>
            <w:vAlign w:val="center"/>
          </w:tcPr>
          <w:p w14:paraId="34C5D87C" w14:textId="77777777">
            <w:pPr>
              <w:pBdr/>
              <w:spacing/>
              <w:ind/>
              <w:jc w:val="center"/>
              <w:rPr>
                <w:rFonts w:ascii="Georgia" w:hAnsi="Georgia" w:cstheme="minorHAnsi"/>
                <w:sz w:val="20"/>
                <w:szCs w:val="20"/>
              </w:rPr>
            </w:pPr>
            <w:r>
              <w:rPr>
                <w:rFonts w:ascii="Georgia" w:hAnsi="Georgia" w:cstheme="minorHAnsi"/>
                <w:sz w:val="20"/>
                <w:szCs w:val="20"/>
              </w:rPr>
              <w:t xml:space="preserve">3.070</w:t>
            </w:r>
            <w:r>
              <w:rPr>
                <w:rFonts w:ascii="Georgia" w:hAnsi="Georgia" w:cstheme="minorHAnsi"/>
                <w:sz w:val="20"/>
                <w:szCs w:val="20"/>
              </w:rPr>
            </w:r>
          </w:p>
        </w:tc>
      </w:tr>
      <w:tr>
        <w:trPr>
          <w:jc w:val="center"/>
          <w:trHeight w:val="335"/>
        </w:trPr>
        <w:tc>
          <w:tcPr>
            <w:tcBorders/>
            <w:tcW w:w="5755" w:type="dxa"/>
            <w:vAlign w:val="center"/>
          </w:tcPr>
          <w:p w14:paraId="485D5CE5" w14:textId="77777777">
            <w:pPr>
              <w:pBdr/>
              <w:spacing/>
              <w:ind/>
              <w:rPr>
                <w:rFonts w:ascii="Georgia" w:hAnsi="Georgia" w:cstheme="minorHAnsi"/>
                <w:sz w:val="20"/>
                <w:szCs w:val="20"/>
              </w:rPr>
            </w:pPr>
            <w:r>
              <w:rPr>
                <w:rFonts w:ascii="Georgia" w:hAnsi="Georgia" w:cstheme="minorHAnsi"/>
                <w:sz w:val="20"/>
                <w:szCs w:val="20"/>
              </w:rPr>
              <w:t xml:space="preserve">Administração pública direta e autárquica</w:t>
            </w:r>
            <w:r>
              <w:rPr>
                <w:rFonts w:ascii="Georgia" w:hAnsi="Georgia" w:cstheme="minorHAnsi"/>
                <w:sz w:val="20"/>
                <w:szCs w:val="20"/>
              </w:rPr>
            </w:r>
          </w:p>
        </w:tc>
        <w:tc>
          <w:tcPr>
            <w:tcBorders/>
            <w:tcW w:w="2270" w:type="dxa"/>
            <w:vAlign w:val="center"/>
          </w:tcPr>
          <w:p w14:paraId="40C195FB" w14:textId="77777777">
            <w:pPr>
              <w:pBdr/>
              <w:spacing/>
              <w:ind/>
              <w:jc w:val="center"/>
              <w:rPr>
                <w:rFonts w:ascii="Georgia" w:hAnsi="Georgia" w:cstheme="minorHAnsi"/>
                <w:sz w:val="20"/>
                <w:szCs w:val="20"/>
              </w:rPr>
            </w:pPr>
            <w:r>
              <w:rPr>
                <w:rFonts w:ascii="Georgia" w:hAnsi="Georgia" w:cstheme="minorHAnsi"/>
                <w:sz w:val="20"/>
                <w:szCs w:val="20"/>
              </w:rPr>
              <w:t xml:space="preserve">2.546</w:t>
            </w:r>
            <w:r>
              <w:rPr>
                <w:rFonts w:ascii="Georgia" w:hAnsi="Georgia" w:cstheme="minorHAnsi"/>
                <w:sz w:val="20"/>
                <w:szCs w:val="20"/>
              </w:rPr>
            </w:r>
          </w:p>
        </w:tc>
      </w:tr>
      <w:tr>
        <w:trPr>
          <w:jc w:val="center"/>
          <w:trHeight w:val="335"/>
        </w:trPr>
        <w:tc>
          <w:tcPr>
            <w:tcBorders/>
            <w:tcW w:w="5755" w:type="dxa"/>
            <w:vAlign w:val="center"/>
          </w:tcPr>
          <w:p w14:paraId="69733FAF" w14:textId="77777777">
            <w:pPr>
              <w:pBdr/>
              <w:spacing/>
              <w:ind/>
              <w:rPr>
                <w:rFonts w:ascii="Georgia" w:hAnsi="Georgia" w:cstheme="minorHAnsi"/>
                <w:sz w:val="20"/>
                <w:szCs w:val="20"/>
              </w:rPr>
            </w:pPr>
            <w:r>
              <w:rPr>
                <w:rFonts w:ascii="Georgia" w:hAnsi="Georgia" w:cstheme="minorHAnsi"/>
                <w:sz w:val="20"/>
                <w:szCs w:val="20"/>
              </w:rPr>
              <w:t xml:space="preserve">Agricultura, silvicultura, criação de animais, extrativismo vegetal</w:t>
            </w:r>
            <w:r>
              <w:rPr>
                <w:rFonts w:ascii="Georgia" w:hAnsi="Georgia" w:cstheme="minorHAnsi"/>
                <w:sz w:val="20"/>
                <w:szCs w:val="20"/>
              </w:rPr>
            </w:r>
          </w:p>
        </w:tc>
        <w:tc>
          <w:tcPr>
            <w:tcBorders/>
            <w:tcW w:w="2270" w:type="dxa"/>
            <w:vAlign w:val="center"/>
          </w:tcPr>
          <w:p w14:paraId="055F0BEC" w14:textId="77777777">
            <w:pPr>
              <w:pBdr/>
              <w:spacing/>
              <w:ind/>
              <w:jc w:val="center"/>
              <w:rPr>
                <w:rFonts w:ascii="Georgia" w:hAnsi="Georgia" w:cstheme="minorHAnsi"/>
                <w:sz w:val="20"/>
                <w:szCs w:val="20"/>
              </w:rPr>
            </w:pPr>
            <w:r>
              <w:rPr>
                <w:rFonts w:ascii="Georgia" w:hAnsi="Georgia" w:cstheme="minorHAnsi"/>
                <w:sz w:val="20"/>
                <w:szCs w:val="20"/>
              </w:rPr>
              <w:t xml:space="preserve">2.022</w:t>
            </w:r>
            <w:r>
              <w:rPr>
                <w:rFonts w:ascii="Georgia" w:hAnsi="Georgia" w:cstheme="minorHAnsi"/>
                <w:sz w:val="20"/>
                <w:szCs w:val="20"/>
              </w:rPr>
            </w:r>
          </w:p>
        </w:tc>
      </w:tr>
      <w:tr>
        <w:trPr>
          <w:jc w:val="center"/>
          <w:trHeight w:val="543"/>
        </w:trPr>
        <w:tc>
          <w:tcPr>
            <w:tcBorders/>
            <w:tcW w:w="5755" w:type="dxa"/>
            <w:vAlign w:val="center"/>
          </w:tcPr>
          <w:p w14:paraId="3556FEB9" w14:textId="77777777">
            <w:pPr>
              <w:pBdr/>
              <w:spacing/>
              <w:ind/>
              <w:rPr>
                <w:rFonts w:ascii="Georgia" w:hAnsi="Georgia" w:cstheme="minorHAnsi"/>
                <w:sz w:val="20"/>
                <w:szCs w:val="20"/>
              </w:rPr>
            </w:pPr>
            <w:r>
              <w:rPr>
                <w:rFonts w:ascii="Georgia" w:hAnsi="Georgia" w:cstheme="minorHAnsi"/>
                <w:sz w:val="20"/>
                <w:szCs w:val="20"/>
              </w:rPr>
              <w:t xml:space="preserve">Com. e administração de imóveis, valores mobiliários, serviços técnicos</w:t>
            </w:r>
            <w:r>
              <w:rPr>
                <w:rFonts w:ascii="Georgia" w:hAnsi="Georgia" w:cstheme="minorHAnsi"/>
                <w:sz w:val="20"/>
                <w:szCs w:val="20"/>
              </w:rPr>
            </w:r>
          </w:p>
        </w:tc>
        <w:tc>
          <w:tcPr>
            <w:tcBorders/>
            <w:tcW w:w="2270" w:type="dxa"/>
            <w:vAlign w:val="center"/>
          </w:tcPr>
          <w:p w14:paraId="6576C5DD" w14:textId="77777777">
            <w:pPr>
              <w:pBdr/>
              <w:spacing/>
              <w:ind/>
              <w:jc w:val="center"/>
              <w:rPr>
                <w:rFonts w:ascii="Georgia" w:hAnsi="Georgia" w:cstheme="minorHAnsi"/>
                <w:sz w:val="20"/>
                <w:szCs w:val="20"/>
              </w:rPr>
            </w:pPr>
            <w:r>
              <w:rPr>
                <w:rFonts w:ascii="Georgia" w:hAnsi="Georgia" w:cstheme="minorHAnsi"/>
                <w:sz w:val="20"/>
                <w:szCs w:val="20"/>
              </w:rPr>
              <w:t xml:space="preserve">1.410</w:t>
            </w:r>
            <w:r>
              <w:rPr>
                <w:rFonts w:ascii="Georgia" w:hAnsi="Georgia" w:cstheme="minorHAnsi"/>
                <w:sz w:val="20"/>
                <w:szCs w:val="20"/>
              </w:rPr>
            </w:r>
          </w:p>
        </w:tc>
      </w:tr>
      <w:tr>
        <w:trPr>
          <w:jc w:val="center"/>
          <w:trHeight w:val="335"/>
        </w:trPr>
        <w:tc>
          <w:tcPr>
            <w:tcBorders/>
            <w:tcW w:w="5755" w:type="dxa"/>
            <w:vAlign w:val="center"/>
          </w:tcPr>
          <w:p w14:paraId="23ECEF4A" w14:textId="77777777">
            <w:pPr>
              <w:pBdr/>
              <w:spacing/>
              <w:ind/>
              <w:rPr>
                <w:rFonts w:ascii="Georgia" w:hAnsi="Georgia" w:cstheme="minorHAnsi"/>
                <w:sz w:val="20"/>
                <w:szCs w:val="20"/>
              </w:rPr>
            </w:pPr>
            <w:r>
              <w:rPr>
                <w:rFonts w:ascii="Georgia" w:hAnsi="Georgia" w:cstheme="minorHAnsi"/>
                <w:sz w:val="20"/>
                <w:szCs w:val="20"/>
              </w:rPr>
              <w:t xml:space="preserve">Comércio atacadista</w:t>
            </w:r>
            <w:r>
              <w:rPr>
                <w:rFonts w:ascii="Georgia" w:hAnsi="Georgia" w:cstheme="minorHAnsi"/>
                <w:sz w:val="20"/>
                <w:szCs w:val="20"/>
              </w:rPr>
            </w:r>
          </w:p>
        </w:tc>
        <w:tc>
          <w:tcPr>
            <w:tcBorders/>
            <w:tcW w:w="2270" w:type="dxa"/>
            <w:vAlign w:val="center"/>
          </w:tcPr>
          <w:p w14:paraId="53A4A4ED" w14:textId="77777777">
            <w:pPr>
              <w:pBdr/>
              <w:spacing/>
              <w:ind/>
              <w:jc w:val="center"/>
              <w:rPr>
                <w:rFonts w:ascii="Georgia" w:hAnsi="Georgia" w:cstheme="minorHAnsi"/>
                <w:sz w:val="20"/>
                <w:szCs w:val="20"/>
              </w:rPr>
            </w:pPr>
            <w:r>
              <w:rPr>
                <w:rFonts w:ascii="Georgia" w:hAnsi="Georgia" w:cstheme="minorHAnsi"/>
                <w:sz w:val="20"/>
                <w:szCs w:val="20"/>
              </w:rPr>
              <w:t xml:space="preserve">1.037</w:t>
            </w:r>
            <w:r>
              <w:rPr>
                <w:rFonts w:ascii="Georgia" w:hAnsi="Georgia" w:cstheme="minorHAnsi"/>
                <w:sz w:val="20"/>
                <w:szCs w:val="20"/>
              </w:rPr>
            </w:r>
          </w:p>
        </w:tc>
      </w:tr>
      <w:tr>
        <w:trPr>
          <w:jc w:val="center"/>
          <w:trHeight w:val="335"/>
        </w:trPr>
        <w:tc>
          <w:tcPr>
            <w:tcBorders/>
            <w:tcW w:w="5755" w:type="dxa"/>
            <w:vAlign w:val="center"/>
          </w:tcPr>
          <w:p w14:paraId="3FACCD11" w14:textId="77777777">
            <w:pPr>
              <w:pBdr/>
              <w:spacing/>
              <w:ind/>
              <w:rPr>
                <w:rFonts w:ascii="Georgia" w:hAnsi="Georgia" w:cstheme="minorHAnsi"/>
                <w:sz w:val="20"/>
                <w:szCs w:val="20"/>
              </w:rPr>
            </w:pPr>
            <w:r>
              <w:rPr>
                <w:rFonts w:ascii="Georgia" w:hAnsi="Georgia" w:cstheme="minorHAnsi"/>
                <w:sz w:val="20"/>
                <w:szCs w:val="20"/>
              </w:rPr>
              <w:t xml:space="preserve">Construção civil</w:t>
            </w:r>
            <w:r>
              <w:rPr>
                <w:rFonts w:ascii="Georgia" w:hAnsi="Georgia" w:cstheme="minorHAnsi"/>
                <w:sz w:val="20"/>
                <w:szCs w:val="20"/>
              </w:rPr>
            </w:r>
          </w:p>
        </w:tc>
        <w:tc>
          <w:tcPr>
            <w:tcBorders/>
            <w:tcW w:w="2270" w:type="dxa"/>
            <w:vAlign w:val="center"/>
          </w:tcPr>
          <w:p w14:paraId="6343D306" w14:textId="77777777">
            <w:pPr>
              <w:pBdr/>
              <w:spacing/>
              <w:ind/>
              <w:jc w:val="center"/>
              <w:rPr>
                <w:rFonts w:ascii="Georgia" w:hAnsi="Georgia" w:cstheme="minorHAnsi"/>
                <w:sz w:val="20"/>
                <w:szCs w:val="20"/>
              </w:rPr>
            </w:pPr>
            <w:r>
              <w:rPr>
                <w:rFonts w:ascii="Georgia" w:hAnsi="Georgia" w:cstheme="minorHAnsi"/>
                <w:sz w:val="20"/>
                <w:szCs w:val="20"/>
              </w:rPr>
              <w:t xml:space="preserve">877</w:t>
            </w:r>
            <w:r>
              <w:rPr>
                <w:rFonts w:ascii="Georgia" w:hAnsi="Georgia" w:cstheme="minorHAnsi"/>
                <w:sz w:val="20"/>
                <w:szCs w:val="20"/>
              </w:rPr>
            </w:r>
          </w:p>
        </w:tc>
      </w:tr>
      <w:tr>
        <w:trPr>
          <w:jc w:val="center"/>
          <w:trHeight w:val="335"/>
        </w:trPr>
        <w:tc>
          <w:tcPr>
            <w:tcBorders/>
            <w:tcW w:w="5755" w:type="dxa"/>
            <w:vAlign w:val="center"/>
          </w:tcPr>
          <w:p w14:paraId="6DBE6C82" w14:textId="77777777">
            <w:pPr>
              <w:pBdr/>
              <w:spacing/>
              <w:ind/>
              <w:rPr>
                <w:rFonts w:ascii="Georgia" w:hAnsi="Georgia" w:cstheme="minorHAnsi"/>
                <w:sz w:val="20"/>
                <w:szCs w:val="20"/>
              </w:rPr>
            </w:pPr>
            <w:r>
              <w:rPr>
                <w:rFonts w:ascii="Georgia" w:hAnsi="Georgia" w:cstheme="minorHAnsi"/>
                <w:sz w:val="20"/>
                <w:szCs w:val="20"/>
              </w:rPr>
              <w:t xml:space="preserve">Indústria de produtos alimentícios, bebidas e álcool etílico</w:t>
            </w:r>
            <w:r>
              <w:rPr>
                <w:rFonts w:ascii="Georgia" w:hAnsi="Georgia" w:cstheme="minorHAnsi"/>
                <w:sz w:val="20"/>
                <w:szCs w:val="20"/>
              </w:rPr>
            </w:r>
          </w:p>
        </w:tc>
        <w:tc>
          <w:tcPr>
            <w:tcBorders/>
            <w:tcW w:w="2270" w:type="dxa"/>
            <w:vAlign w:val="center"/>
          </w:tcPr>
          <w:p w14:paraId="3D55963C" w14:textId="77777777">
            <w:pPr>
              <w:pBdr/>
              <w:spacing/>
              <w:ind/>
              <w:jc w:val="center"/>
              <w:rPr>
                <w:rFonts w:ascii="Georgia" w:hAnsi="Georgia" w:cstheme="minorHAnsi"/>
                <w:sz w:val="20"/>
                <w:szCs w:val="20"/>
              </w:rPr>
            </w:pPr>
            <w:r>
              <w:rPr>
                <w:rFonts w:ascii="Georgia" w:hAnsi="Georgia" w:cstheme="minorHAnsi"/>
                <w:sz w:val="20"/>
                <w:szCs w:val="20"/>
              </w:rPr>
              <w:t xml:space="preserve">330</w:t>
            </w:r>
            <w:r>
              <w:rPr>
                <w:rFonts w:ascii="Georgia" w:hAnsi="Georgia" w:cstheme="minorHAnsi"/>
                <w:sz w:val="20"/>
                <w:szCs w:val="20"/>
              </w:rPr>
            </w:r>
          </w:p>
        </w:tc>
      </w:tr>
    </w:tbl>
    <w:p w14:paraId="73C68AAD" w14:textId="77777777">
      <w:pPr>
        <w:pBdr/>
        <w:spacing w:after="0" w:line="240" w:lineRule="auto"/>
        <w:ind/>
        <w:jc w:val="center"/>
        <w:rPr>
          <w:rFonts w:ascii="Georgia" w:hAnsi="Georgia" w:cstheme="minorHAnsi"/>
          <w:sz w:val="20"/>
          <w:szCs w:val="20"/>
        </w:rPr>
      </w:pPr>
      <w:r>
        <w:rPr>
          <w:rFonts w:ascii="Georgia" w:hAnsi="Georgia" w:cstheme="minorHAnsi"/>
          <w:sz w:val="20"/>
          <w:szCs w:val="20"/>
        </w:rPr>
        <w:t xml:space="preserve">Fonte: Relação Anual de Informações Sociais (RAIS), 2024.</w:t>
      </w:r>
      <w:r>
        <w:rPr>
          <w:rFonts w:ascii="Georgia" w:hAnsi="Georgia" w:cstheme="minorHAnsi"/>
          <w:sz w:val="20"/>
          <w:szCs w:val="20"/>
        </w:rPr>
      </w:r>
    </w:p>
    <w:p w14:paraId="22C2F6ED" w14:textId="77777777">
      <w:pPr>
        <w:pBdr/>
        <w:spacing w:after="120" w:line="360" w:lineRule="auto"/>
        <w:ind/>
        <w:jc w:val="both"/>
        <w:rPr>
          <w:rFonts w:ascii="Georgia" w:hAnsi="Georgia" w:cstheme="minorHAnsi"/>
        </w:rPr>
      </w:pPr>
      <w:r>
        <w:rPr>
          <w:rFonts w:ascii="Georgia" w:hAnsi="Georgia" w:cstheme="minorHAnsi"/>
        </w:rPr>
        <w:t xml:space="preserve"> </w:t>
      </w:r>
      <w:r>
        <w:rPr>
          <w:rFonts w:ascii="Georgia" w:hAnsi="Georgia" w:cstheme="minorHAnsi"/>
        </w:rPr>
        <w:tab/>
      </w:r>
      <w:r>
        <w:rPr>
          <w:rFonts w:ascii="Georgia" w:hAnsi="Georgia" w:cstheme="minorHAnsi"/>
        </w:rPr>
      </w:r>
    </w:p>
    <w:p w14:paraId="6A3CA628" w14:textId="39409D7B">
      <w:pPr>
        <w:pBdr/>
        <w:spacing w:after="120" w:line="360" w:lineRule="auto"/>
        <w:ind w:firstLine="708"/>
        <w:jc w:val="both"/>
        <w:rPr>
          <w:rFonts w:ascii="Georgia" w:hAnsi="Georgia" w:cstheme="minorHAnsi"/>
          <w:sz w:val="24"/>
          <w:szCs w:val="24"/>
        </w:rPr>
      </w:pPr>
      <w:r>
        <w:rPr>
          <w:rFonts w:ascii="Georgia" w:hAnsi="Georgia" w:cstheme="minorHAnsi"/>
          <w:sz w:val="24"/>
          <w:szCs w:val="24"/>
        </w:rPr>
        <w:t xml:space="preserve">Considerando-se a existência de duas universidades e as escolas de ensino fundamental e médio públicas e privadas na cidade, o ensino apresenta uma elevada capacidade de a</w:t>
      </w:r>
      <w:r>
        <w:rPr>
          <w:rFonts w:ascii="Georgia" w:hAnsi="Georgia" w:cstheme="minorHAnsi"/>
          <w:sz w:val="24"/>
          <w:szCs w:val="24"/>
        </w:rPr>
        <w:t xml:space="preserve">bsorção de mão de obra na própria cidade relativamente ao seu porte médio. É necessário ponderar que os setores agrícola e industrial também estão entre os oito maiores empregadores, o que direta ou indiretamente alimenta os setores de comércio e serviços.</w:t>
      </w:r>
      <w:r>
        <w:rPr>
          <w:rFonts w:ascii="Georgia" w:hAnsi="Georgia" w:cstheme="minorHAnsi"/>
          <w:sz w:val="24"/>
          <w:szCs w:val="24"/>
        </w:rPr>
      </w:r>
    </w:p>
    <w:p w14:paraId="33BF3774" w14:textId="77777777">
      <w:pPr>
        <w:pBdr/>
        <w:spacing w:after="120" w:line="360" w:lineRule="auto"/>
        <w:ind/>
        <w:jc w:val="both"/>
        <w:rPr>
          <w:rFonts w:ascii="Georgia" w:hAnsi="Georgia" w:cstheme="minorHAnsi"/>
          <w:b/>
          <w:sz w:val="24"/>
          <w:szCs w:val="24"/>
        </w:rPr>
      </w:pPr>
      <w:r>
        <w:rPr>
          <w:rFonts w:ascii="Georgia" w:hAnsi="Georgia" w:cstheme="minorHAnsi"/>
          <w:b/>
          <w:sz w:val="24"/>
          <w:szCs w:val="24"/>
        </w:rPr>
        <w:t xml:space="preserve">Os municípios da Região Imediata de Alfenas</w:t>
      </w:r>
      <w:r>
        <w:rPr>
          <w:rFonts w:ascii="Georgia" w:hAnsi="Georgia" w:cstheme="minorHAnsi"/>
          <w:b/>
          <w:sz w:val="24"/>
          <w:szCs w:val="24"/>
        </w:rPr>
      </w:r>
    </w:p>
    <w:p w14:paraId="49BF3EB2" w14:textId="4CE9AE04">
      <w:pPr>
        <w:pBdr/>
        <w:spacing w:after="120" w:line="360" w:lineRule="auto"/>
        <w:ind w:firstLine="700"/>
        <w:jc w:val="both"/>
        <w:rPr>
          <w:rFonts w:ascii="Georgia" w:hAnsi="Georgia" w:cstheme="minorHAnsi"/>
          <w:sz w:val="24"/>
          <w:szCs w:val="24"/>
        </w:rPr>
      </w:pPr>
      <w:r>
        <w:rPr>
          <w:rFonts w:ascii="Georgia" w:hAnsi="Georgia" w:cstheme="minorHAnsi"/>
          <w:sz w:val="24"/>
          <w:szCs w:val="24"/>
        </w:rPr>
        <w:t xml:space="preserve">No REGIC (2018), Alfenas é classificada como um </w:t>
      </w:r>
      <w:r>
        <w:rPr>
          <w:rFonts w:ascii="Georgia" w:hAnsi="Georgia" w:cstheme="minorHAnsi"/>
          <w:sz w:val="24"/>
          <w:szCs w:val="24"/>
        </w:rPr>
        <w:t xml:space="preserve">C</w:t>
      </w:r>
      <w:r>
        <w:rPr>
          <w:rFonts w:ascii="Georgia" w:hAnsi="Georgia" w:cstheme="minorHAnsi"/>
          <w:sz w:val="24"/>
          <w:szCs w:val="24"/>
        </w:rPr>
        <w:t xml:space="preserve">entro </w:t>
      </w:r>
      <w:r>
        <w:rPr>
          <w:rFonts w:ascii="Georgia" w:hAnsi="Georgia" w:cstheme="minorHAnsi"/>
          <w:sz w:val="24"/>
          <w:szCs w:val="24"/>
        </w:rPr>
        <w:t xml:space="preserve">S</w:t>
      </w:r>
      <w:r>
        <w:rPr>
          <w:rFonts w:ascii="Georgia" w:hAnsi="Georgia" w:cstheme="minorHAnsi"/>
          <w:sz w:val="24"/>
          <w:szCs w:val="24"/>
        </w:rPr>
        <w:t xml:space="preserve">ubregional</w:t>
      </w:r>
      <w:r>
        <w:rPr>
          <w:rFonts w:ascii="Georgia" w:hAnsi="Georgia" w:cstheme="minorHAnsi"/>
          <w:sz w:val="24"/>
          <w:szCs w:val="24"/>
        </w:rPr>
        <w:t xml:space="preserve"> A, enquanto as cidades polarizadas são classificadas como centros locais, com exceção de Machado, um centro de zona A, polarizando </w:t>
      </w:r>
      <w:r>
        <w:rPr>
          <w:rFonts w:ascii="Georgia" w:hAnsi="Georgia" w:cstheme="minorHAnsi"/>
          <w:sz w:val="24"/>
          <w:szCs w:val="24"/>
        </w:rPr>
        <w:t xml:space="preserve">Carvalhópolis</w:t>
      </w:r>
      <w:r>
        <w:rPr>
          <w:rFonts w:ascii="Georgia" w:hAnsi="Georgia" w:cstheme="minorHAnsi"/>
          <w:sz w:val="24"/>
          <w:szCs w:val="24"/>
        </w:rPr>
        <w:t xml:space="preserve"> e Poço Fundo.</w:t>
      </w:r>
      <w:r>
        <w:rPr>
          <w:rFonts w:ascii="Georgia" w:hAnsi="Georgia" w:cstheme="minorHAnsi"/>
          <w:sz w:val="24"/>
          <w:szCs w:val="24"/>
        </w:rPr>
      </w:r>
    </w:p>
    <w:p w14:paraId="48D51F89" w14:textId="1F8EECED">
      <w:pPr>
        <w:pBdr/>
        <w:spacing w:after="120" w:line="360" w:lineRule="auto"/>
        <w:ind w:firstLine="700"/>
        <w:jc w:val="both"/>
        <w:rPr>
          <w:rFonts w:ascii="Georgia" w:hAnsi="Georgia" w:cstheme="minorHAnsi"/>
          <w:sz w:val="24"/>
          <w:szCs w:val="24"/>
        </w:rPr>
      </w:pPr>
      <w:r>
        <w:rPr>
          <w:rFonts w:ascii="Georgia" w:hAnsi="Georgia" w:cstheme="minorHAnsi"/>
          <w:sz w:val="24"/>
          <w:szCs w:val="24"/>
        </w:rPr>
        <w:t xml:space="preserve">A Região Imediata de Alfenas caracteriza-se pela vocação agrícola, conforme o levantamento do </w:t>
      </w:r>
      <w:r>
        <w:rPr>
          <w:rFonts w:ascii="Georgia" w:hAnsi="Georgia" w:cstheme="minorHAnsi"/>
          <w:sz w:val="24"/>
          <w:szCs w:val="24"/>
        </w:rPr>
        <w:t xml:space="preserve">Cadastro Nacional de Empresas (CNAE), a produção de lavouras permanentes aparece em primeiro lugar em nove dos 13 municípios, sendo seis referentes ao cultivo de café. Além desta atividade, destacam-se a produção de alimentos e comércio varejista em geral </w:t>
      </w:r>
      <w:r>
        <w:rPr>
          <w:rFonts w:ascii="Georgia" w:hAnsi="Georgia" w:cstheme="minorHAnsi"/>
          <w:sz w:val="24"/>
          <w:szCs w:val="24"/>
        </w:rPr>
        <w:t xml:space="preserve">(SIDRA, 2024).</w:t>
      </w:r>
      <w:r>
        <w:rPr>
          <w:rFonts w:ascii="Georgia" w:hAnsi="Georgia" w:cstheme="minorHAnsi"/>
          <w:sz w:val="24"/>
          <w:szCs w:val="24"/>
        </w:rPr>
      </w:r>
    </w:p>
    <w:p w14:paraId="4730AAFA" w14:textId="21BBC7B8">
      <w:pPr>
        <w:pBdr/>
        <w:spacing w:after="120" w:line="360" w:lineRule="auto"/>
        <w:ind/>
        <w:jc w:val="both"/>
        <w:rPr>
          <w:rFonts w:ascii="Georgia" w:hAnsi="Georgia" w:cstheme="minorHAnsi"/>
          <w:sz w:val="24"/>
          <w:szCs w:val="24"/>
        </w:rPr>
      </w:pPr>
      <w:r>
        <w:rPr>
          <w:rFonts w:ascii="Georgia" w:hAnsi="Georgia" w:cstheme="minorHAnsi"/>
        </w:rPr>
        <w:tab/>
      </w:r>
      <w:r>
        <w:rPr>
          <w:rFonts w:ascii="Georgia" w:hAnsi="Georgia" w:cstheme="minorHAnsi"/>
          <w:sz w:val="24"/>
          <w:szCs w:val="24"/>
        </w:rPr>
        <w:t xml:space="preserve">Em termos demográficos, com exceção de Alfenas, os demais municípios possuem tota</w:t>
      </w:r>
      <w:r>
        <w:rPr>
          <w:rFonts w:ascii="Georgia" w:hAnsi="Georgia" w:cstheme="minorHAnsi"/>
          <w:sz w:val="24"/>
          <w:szCs w:val="24"/>
        </w:rPr>
        <w:t xml:space="preserve">is</w:t>
      </w:r>
      <w:r>
        <w:rPr>
          <w:rFonts w:ascii="Georgia" w:hAnsi="Georgia" w:cstheme="minorHAnsi"/>
          <w:sz w:val="24"/>
          <w:szCs w:val="24"/>
        </w:rPr>
        <w:t xml:space="preserve"> inferior</w:t>
      </w:r>
      <w:r>
        <w:rPr>
          <w:rFonts w:ascii="Georgia" w:hAnsi="Georgia" w:cstheme="minorHAnsi"/>
          <w:sz w:val="24"/>
          <w:szCs w:val="24"/>
        </w:rPr>
        <w:t xml:space="preserve">es</w:t>
      </w:r>
      <w:r>
        <w:rPr>
          <w:rFonts w:ascii="Georgia" w:hAnsi="Georgia" w:cstheme="minorHAnsi"/>
          <w:sz w:val="24"/>
          <w:szCs w:val="24"/>
        </w:rPr>
        <w:t xml:space="preserve"> a 50 mil habitantes, patamar este considerado por Corrêa (2006) para classificar, de modo genérico, as cidades pequenas. Mas dentro des</w:t>
      </w:r>
      <w:r>
        <w:rPr>
          <w:rFonts w:ascii="Georgia" w:hAnsi="Georgia" w:cstheme="minorHAnsi"/>
          <w:sz w:val="24"/>
          <w:szCs w:val="24"/>
        </w:rPr>
        <w:t xml:space="preserve">t</w:t>
      </w:r>
      <w:r>
        <w:rPr>
          <w:rFonts w:ascii="Georgia" w:hAnsi="Georgia" w:cstheme="minorHAnsi"/>
          <w:sz w:val="24"/>
          <w:szCs w:val="24"/>
        </w:rPr>
        <w:t xml:space="preserve">e espectro, existe um conjunto heterogêneo, indo da menor população de 2.578</w:t>
      </w:r>
      <w:r>
        <w:rPr>
          <w:rFonts w:ascii="Georgia" w:hAnsi="Georgia" w:cstheme="minorHAnsi"/>
          <w:sz w:val="24"/>
          <w:szCs w:val="24"/>
        </w:rPr>
        <w:t xml:space="preserve"> habitantes</w:t>
      </w:r>
      <w:r>
        <w:rPr>
          <w:rFonts w:ascii="Georgia" w:hAnsi="Georgia" w:cstheme="minorHAnsi"/>
          <w:sz w:val="24"/>
          <w:szCs w:val="24"/>
        </w:rPr>
        <w:t xml:space="preserve">, correspondente ao municíp</w:t>
      </w:r>
      <w:r>
        <w:rPr>
          <w:rFonts w:ascii="Georgia" w:hAnsi="Georgia" w:cstheme="minorHAnsi"/>
          <w:sz w:val="24"/>
          <w:szCs w:val="24"/>
        </w:rPr>
        <w:t xml:space="preserve">io de Fama, ao maior com 37.648 habitantes, o município de Machado (IBGE, 2024). Para além do fator quantitativo do tamanho populacional, isto aponta para diferenças qualitativas entre estes, em termos de divisão técnica do trabalho e interações espaciais.</w:t>
      </w:r>
      <w:r>
        <w:rPr>
          <w:rFonts w:ascii="Georgia" w:hAnsi="Georgia" w:cstheme="minorHAnsi"/>
          <w:sz w:val="24"/>
          <w:szCs w:val="24"/>
        </w:rPr>
      </w:r>
    </w:p>
    <w:p w14:paraId="1DFBE3F2" w14:textId="27F95B3A">
      <w:pPr>
        <w:pBdr/>
        <w:spacing w:after="120" w:line="360" w:lineRule="auto"/>
        <w:ind w:firstLine="700"/>
        <w:jc w:val="both"/>
        <w:rPr>
          <w:rFonts w:ascii="Georgia" w:hAnsi="Georgia" w:cstheme="minorHAnsi"/>
          <w:sz w:val="24"/>
          <w:szCs w:val="24"/>
        </w:rPr>
      </w:pPr>
      <w:r>
        <w:rPr>
          <w:rFonts w:ascii="Georgia" w:hAnsi="Georgia" w:cstheme="minorHAnsi"/>
          <w:sz w:val="24"/>
          <w:szCs w:val="24"/>
        </w:rPr>
        <w:t xml:space="preserve">Com relação ao PIB, também há uma diferença expressiva, de q</w:t>
      </w:r>
      <w:r>
        <w:rPr>
          <w:rFonts w:ascii="Georgia" w:hAnsi="Georgia" w:cstheme="minorHAnsi"/>
          <w:sz w:val="24"/>
          <w:szCs w:val="24"/>
        </w:rPr>
        <w:t xml:space="preserve">uase 3,5 bilhões de reais de Alfenas para o segundo município, Machado, que não alcança um terço deste valor (Figura 9). No caso da renda per capita, também há maior expressão em Alfenas com 43 mil reais e o segundo, alcançando pouco mais de 32 mil reais, </w:t>
      </w:r>
      <w:bookmarkStart w:id="0" w:name="_Hlk207633094"/>
      <w:r>
        <w:rPr>
          <w:rFonts w:ascii="Georgia" w:hAnsi="Georgia" w:cstheme="minorHAnsi"/>
          <w:sz w:val="24"/>
          <w:szCs w:val="24"/>
        </w:rPr>
        <w:t xml:space="preserve">correspondente a </w:t>
      </w:r>
      <w:bookmarkEnd w:id="0"/>
      <w:r>
        <w:rPr>
          <w:rFonts w:ascii="Georgia" w:hAnsi="Georgia" w:cstheme="minorHAnsi"/>
          <w:sz w:val="24"/>
          <w:szCs w:val="24"/>
        </w:rPr>
        <w:t xml:space="preserve">Machado; o terceiro, Paraguaçu com pouco menos que 30 mil reais (IBGE, 2024).  </w:t>
      </w:r>
      <w:r>
        <w:rPr>
          <w:rFonts w:ascii="Georgia" w:hAnsi="Georgia" w:cstheme="minorHAnsi"/>
          <w:sz w:val="24"/>
          <w:szCs w:val="24"/>
        </w:rPr>
      </w:r>
    </w:p>
    <w:p w14:paraId="31B70D13" w14:textId="77777777">
      <w:pPr>
        <w:pBdr/>
        <w:spacing w:after="120" w:line="360" w:lineRule="auto"/>
        <w:ind w:firstLine="700"/>
        <w:jc w:val="both"/>
        <w:rPr>
          <w:rFonts w:ascii="Georgia" w:hAnsi="Georgia" w:cstheme="minorHAnsi"/>
          <w:b/>
          <w:sz w:val="24"/>
          <w:szCs w:val="24"/>
        </w:rPr>
      </w:pPr>
      <w:r>
        <w:rPr>
          <w:rFonts w:ascii="Georgia" w:hAnsi="Georgia" w:cstheme="minorHAnsi"/>
          <w:b/>
          <w:sz w:val="24"/>
          <w:szCs w:val="24"/>
        </w:rPr>
      </w:r>
      <w:r>
        <w:rPr>
          <w:rFonts w:ascii="Georgia" w:hAnsi="Georgia" w:cstheme="minorHAnsi"/>
          <w:b/>
          <w:sz w:val="24"/>
          <w:szCs w:val="24"/>
        </w:rPr>
      </w:r>
    </w:p>
    <w:p w14:paraId="10C82D3F" w14:textId="57F17B8F">
      <w:pPr>
        <w:pBdr/>
        <w:spacing w:after="120" w:line="240" w:lineRule="auto"/>
        <w:ind/>
        <w:jc w:val="center"/>
        <w:rPr>
          <w:rFonts w:ascii="Georgia" w:hAnsi="Georgia" w:cstheme="minorHAnsi"/>
          <w:sz w:val="24"/>
          <w:szCs w:val="24"/>
        </w:rPr>
      </w:pPr>
      <w:r>
        <w:rPr>
          <w:rFonts w:ascii="Georgia" w:hAnsi="Georgia" w:cstheme="minorHAnsi"/>
          <w:b/>
          <w:sz w:val="24"/>
          <w:szCs w:val="24"/>
        </w:rPr>
        <w:t xml:space="preserve">Figura 9</w:t>
      </w:r>
      <w:r>
        <w:rPr>
          <w:rFonts w:ascii="Georgia" w:hAnsi="Georgia" w:cstheme="minorHAnsi"/>
          <w:bCs/>
          <w:sz w:val="24"/>
          <w:szCs w:val="24"/>
        </w:rPr>
        <w:t xml:space="preserve"> – PIB dos municípios da Região Imediata de Alfenas entre 2002 e 2021</w:t>
      </w:r>
      <w:r>
        <w:rPr>
          <w:rFonts w:ascii="Georgia" w:hAnsi="Georgia" w:cstheme="minorHAnsi"/>
          <w:sz w:val="24"/>
          <w:szCs w:val="24"/>
        </w:rPr>
        <w:t xml:space="preserve"> </w:t>
      </w:r>
      <w:r>
        <w:rPr>
          <w:rFonts w:ascii="Georgia" w:hAnsi="Georgia" w:cstheme="minorHAnsi"/>
          <w:sz w:val="24"/>
          <w:szCs w:val="24"/>
        </w:rPr>
      </w:r>
    </w:p>
    <w:p w14:paraId="694EB13B" w14:textId="0AF21C53">
      <w:pPr>
        <w:pBdr/>
        <w:spacing w:after="120" w:line="360" w:lineRule="auto"/>
        <w:ind/>
        <w:jc w:val="center"/>
        <w:rPr>
          <w:rFonts w:ascii="Georgia" w:hAnsi="Georgia" w:cstheme="minorHAnsi"/>
          <w:sz w:val="20"/>
          <w:szCs w:val="20"/>
        </w:rPr>
      </w:pPr>
      <w:r>
        <w:rPr>
          <w:rFonts w:ascii="Times New Roman" w:hAnsi="Times New Roman" w:cs="Times New Roman"/>
        </w:rPr>
        <w:drawing>
          <wp:inline distT="0" distB="0" distL="0" distR="0">
            <wp:extent cx="5494020" cy="3124200"/>
            <wp:effectExtent l="0" t="0" r="11430" b="0"/>
            <wp:docPr id="14"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Pr>
          <w:rFonts w:ascii="Georgia" w:hAnsi="Georgia" w:cstheme="minorHAnsi"/>
          <w:sz w:val="20"/>
          <w:szCs w:val="20"/>
        </w:rPr>
      </w:r>
    </w:p>
    <w:p w14:paraId="5E5A5D77" w14:textId="4BC0888E">
      <w:pPr>
        <w:pBdr/>
        <w:spacing w:after="120" w:line="360" w:lineRule="auto"/>
        <w:ind w:firstLine="700"/>
        <w:jc w:val="center"/>
        <w:rPr>
          <w:rFonts w:ascii="Georgia" w:hAnsi="Georgia" w:cstheme="minorHAnsi"/>
          <w:sz w:val="24"/>
          <w:szCs w:val="24"/>
        </w:rPr>
      </w:pPr>
      <w:r>
        <w:rPr>
          <w:rFonts w:ascii="Georgia" w:hAnsi="Georgia" w:cstheme="minorHAnsi"/>
          <w:sz w:val="20"/>
          <w:szCs w:val="20"/>
        </w:rPr>
        <w:t xml:space="preserve">Fonte: SIDRA-IBGE, 2024. Organização: o autor.</w:t>
      </w:r>
      <w:r>
        <w:rPr>
          <w:rFonts w:ascii="Georgia" w:hAnsi="Georgia" w:cstheme="minorHAnsi"/>
          <w:sz w:val="24"/>
          <w:szCs w:val="24"/>
        </w:rPr>
      </w:r>
    </w:p>
    <w:p w14:paraId="3F69E368" w14:textId="127C8562">
      <w:pPr>
        <w:pBdr/>
        <w:spacing w:after="120" w:line="360" w:lineRule="auto"/>
        <w:ind w:firstLine="700"/>
        <w:jc w:val="both"/>
        <w:rPr>
          <w:rFonts w:ascii="Georgia" w:hAnsi="Georgia" w:cstheme="minorHAnsi"/>
          <w:sz w:val="24"/>
          <w:szCs w:val="24"/>
        </w:rPr>
      </w:pPr>
      <w:r>
        <w:rPr>
          <w:rFonts w:ascii="Georgia" w:hAnsi="Georgia" w:cstheme="minorHAnsi"/>
          <w:sz w:val="24"/>
          <w:szCs w:val="24"/>
        </w:rPr>
        <w:t xml:space="preserve">A partir do gráfico anterior, também se pode constatar que o PIB de Alfenas cresce mais do que os outros municípios da região imediata</w:t>
      </w:r>
      <w:r>
        <w:rPr>
          <w:rFonts w:ascii="Georgia" w:hAnsi="Georgia" w:cstheme="minorHAnsi"/>
          <w:sz w:val="24"/>
          <w:szCs w:val="24"/>
        </w:rPr>
        <w:t xml:space="preserve">,</w:t>
      </w:r>
      <w:r>
        <w:rPr>
          <w:rFonts w:ascii="Georgia" w:hAnsi="Georgia" w:cstheme="minorHAnsi"/>
          <w:sz w:val="24"/>
          <w:szCs w:val="24"/>
        </w:rPr>
        <w:t xml:space="preserve"> tanto em números absolutos quanto relativos, o que reforça o fato, conforme essa variável de comparação, de que as desigualdades econômicas tendem a aumentar entre os municípios da região e o seu po</w:t>
      </w:r>
      <w:r>
        <w:rPr>
          <w:rFonts w:ascii="Georgia" w:hAnsi="Georgia" w:cstheme="minorHAnsi"/>
          <w:sz w:val="24"/>
          <w:szCs w:val="24"/>
        </w:rPr>
        <w:t xml:space="preserve">lo principal. Essas desigualdades também refletem as desigualdades de infraestrutura e de mão de obra e, consequentemente, na capacidade de atrair investimentos diretos, o que por sua vez, tende a aumentar mais as disparidades. As desigualdades ocorrem em </w:t>
      </w:r>
      <w:r>
        <w:rPr>
          <w:rFonts w:ascii="Georgia" w:hAnsi="Georgia" w:cstheme="minorHAnsi"/>
          <w:sz w:val="24"/>
          <w:szCs w:val="24"/>
        </w:rPr>
        <w:t xml:space="preserve">razão</w:t>
      </w:r>
      <w:r>
        <w:rPr>
          <w:rFonts w:ascii="Georgia" w:hAnsi="Georgia" w:cstheme="minorHAnsi"/>
          <w:sz w:val="24"/>
          <w:szCs w:val="24"/>
        </w:rPr>
        <w:t xml:space="preserve"> de</w:t>
      </w:r>
      <w:r>
        <w:rPr>
          <w:rFonts w:ascii="Georgia" w:hAnsi="Georgia" w:cstheme="minorHAnsi"/>
          <w:sz w:val="24"/>
          <w:szCs w:val="24"/>
        </w:rPr>
        <w:t xml:space="preserve">, apesar d</w:t>
      </w:r>
      <w:r>
        <w:rPr>
          <w:rFonts w:ascii="Georgia" w:hAnsi="Georgia" w:cstheme="minorHAnsi"/>
          <w:sz w:val="24"/>
          <w:szCs w:val="24"/>
        </w:rPr>
        <w:t xml:space="preserve">as cidades pequenas cresce</w:t>
      </w:r>
      <w:r>
        <w:rPr>
          <w:rFonts w:ascii="Georgia" w:hAnsi="Georgia" w:cstheme="minorHAnsi"/>
          <w:sz w:val="24"/>
          <w:szCs w:val="24"/>
        </w:rPr>
        <w:t xml:space="preserve">re</w:t>
      </w:r>
      <w:r>
        <w:rPr>
          <w:rFonts w:ascii="Georgia" w:hAnsi="Georgia" w:cstheme="minorHAnsi"/>
          <w:sz w:val="24"/>
          <w:szCs w:val="24"/>
        </w:rPr>
        <w:t xml:space="preserve">m, as</w:t>
      </w:r>
      <w:r>
        <w:rPr>
          <w:rFonts w:ascii="Georgia" w:hAnsi="Georgia" w:cstheme="minorHAnsi"/>
          <w:sz w:val="24"/>
          <w:szCs w:val="24"/>
        </w:rPr>
        <w:t xml:space="preserve"> de maior porte</w:t>
      </w:r>
      <w:r>
        <w:rPr>
          <w:rFonts w:ascii="Georgia" w:hAnsi="Georgia" w:cstheme="minorHAnsi"/>
          <w:sz w:val="24"/>
          <w:szCs w:val="24"/>
        </w:rPr>
        <w:t xml:space="preserve"> crescem em um ritmo mais expressivo.</w:t>
      </w:r>
      <w:r>
        <w:rPr>
          <w:rFonts w:ascii="Georgia" w:hAnsi="Georgia" w:cstheme="minorHAnsi"/>
          <w:sz w:val="24"/>
          <w:szCs w:val="24"/>
        </w:rPr>
      </w:r>
    </w:p>
    <w:p w14:paraId="5C45D16A" w14:textId="77777777">
      <w:pPr>
        <w:pBdr/>
        <w:spacing w:after="120" w:line="360" w:lineRule="auto"/>
        <w:ind w:firstLine="700"/>
        <w:jc w:val="both"/>
        <w:rPr>
          <w:rFonts w:ascii="Georgia" w:hAnsi="Georgia" w:cstheme="minorHAnsi"/>
          <w:sz w:val="24"/>
          <w:szCs w:val="24"/>
        </w:rPr>
      </w:pPr>
      <w:r>
        <w:rPr>
          <w:rFonts w:ascii="Georgia" w:hAnsi="Georgia" w:cstheme="minorHAnsi"/>
          <w:sz w:val="24"/>
          <w:szCs w:val="24"/>
        </w:rPr>
        <w:t xml:space="preserve">Em geral, os rendimentos médios mensais dos </w:t>
      </w:r>
      <w:r>
        <w:rPr>
          <w:rFonts w:ascii="Georgia" w:hAnsi="Georgia" w:cstheme="minorHAnsi"/>
          <w:sz w:val="24"/>
          <w:szCs w:val="24"/>
        </w:rPr>
        <w:t xml:space="preserve">municípios também acompanham estes valores. Em 2022, o rendimento médio mensal em Alfenas correspondia a 2.720,58 reais, enquanto em Divisa Nova foi de 1.717, 43 reais, respectivamente o valor mais alto e o mais baixo da região imediata (IBGE SIDRA, 2025).</w:t>
      </w:r>
      <w:r>
        <w:rPr>
          <w:rFonts w:ascii="Georgia" w:hAnsi="Georgia" w:cstheme="minorHAnsi"/>
          <w:sz w:val="24"/>
          <w:szCs w:val="24"/>
        </w:rPr>
      </w:r>
    </w:p>
    <w:p w14:paraId="7D7FB808" w14:textId="77777777">
      <w:pPr>
        <w:pBdr/>
        <w:spacing w:after="120" w:line="360" w:lineRule="auto"/>
        <w:ind w:firstLine="700"/>
        <w:jc w:val="both"/>
        <w:rPr>
          <w:rFonts w:ascii="Georgia" w:hAnsi="Georgia" w:cstheme="minorHAnsi"/>
          <w:sz w:val="24"/>
          <w:szCs w:val="24"/>
        </w:rPr>
      </w:pPr>
      <w:r>
        <w:rPr>
          <w:rFonts w:ascii="Georgia" w:hAnsi="Georgia" w:cstheme="minorHAnsi"/>
          <w:sz w:val="24"/>
          <w:szCs w:val="24"/>
        </w:rPr>
        <w:t xml:space="preserve">Outro indicador importante para aferir as desigualdades econômicas entre os municípios é o Valor Adicionado Fiscal (VAF), pois este corresponde a um valor apurado entre o total de operações de entrada e saída de mercadorias, </w:t>
      </w:r>
      <w:r>
        <w:rPr>
          <w:rFonts w:ascii="Georgia" w:hAnsi="Georgia" w:cstheme="minorHAnsi"/>
          <w:sz w:val="24"/>
          <w:szCs w:val="24"/>
        </w:rPr>
        <w:t xml:space="preserve">serviços de transporte e comunicação de um município no período de um ano (Minas Gerais, 2025).</w:t>
      </w:r>
      <w:r>
        <w:rPr>
          <w:rFonts w:ascii="Georgia" w:hAnsi="Georgia" w:cstheme="minorHAnsi"/>
          <w:sz w:val="24"/>
          <w:szCs w:val="24"/>
        </w:rPr>
      </w:r>
    </w:p>
    <w:p w14:paraId="27C3F3A8" w14:textId="77777777">
      <w:pPr>
        <w:pBdr/>
        <w:spacing w:after="120" w:line="360" w:lineRule="auto"/>
        <w:ind w:firstLine="700"/>
        <w:jc w:val="both"/>
        <w:rPr>
          <w:rFonts w:ascii="Georgia" w:hAnsi="Georgia" w:cstheme="minorHAnsi"/>
          <w:b/>
          <w:bCs/>
          <w:sz w:val="24"/>
          <w:szCs w:val="24"/>
        </w:rPr>
      </w:pPr>
      <w:r>
        <w:rPr>
          <w:rFonts w:ascii="Georgia" w:hAnsi="Georgia" w:cstheme="minorHAnsi"/>
          <w:sz w:val="24"/>
          <w:szCs w:val="24"/>
        </w:rPr>
        <w:t xml:space="preserve">Com relação aos números do Valor Adicionado Fiscal (VAF) da Região Imediata de Alfenas, notam-se disparidades, comparativamente entre os municípios no período compreendido entre 2014 e 2023, conforme a Figura 10.</w:t>
      </w:r>
      <w:r>
        <w:rPr>
          <w:rFonts w:ascii="Georgia" w:hAnsi="Georgia" w:cstheme="minorHAnsi"/>
          <w:b/>
          <w:bCs/>
          <w:sz w:val="24"/>
          <w:szCs w:val="24"/>
        </w:rPr>
      </w:r>
    </w:p>
    <w:p w14:paraId="1C891CF4" w14:textId="77777777">
      <w:pPr>
        <w:pBdr/>
        <w:spacing w:after="120" w:line="240" w:lineRule="auto"/>
        <w:ind/>
        <w:jc w:val="center"/>
        <w:rPr>
          <w:rFonts w:ascii="Georgia" w:hAnsi="Georgia" w:cstheme="minorHAnsi"/>
          <w:b/>
          <w:bCs/>
          <w:sz w:val="24"/>
          <w:szCs w:val="24"/>
        </w:rPr>
      </w:pPr>
      <w:r>
        <w:rPr>
          <w:rFonts w:ascii="Georgia" w:hAnsi="Georgia" w:cstheme="minorHAnsi"/>
          <w:b/>
          <w:bCs/>
          <w:sz w:val="24"/>
          <w:szCs w:val="24"/>
        </w:rPr>
      </w:r>
      <w:r>
        <w:rPr>
          <w:rFonts w:ascii="Georgia" w:hAnsi="Georgia" w:cstheme="minorHAnsi"/>
          <w:b/>
          <w:bCs/>
          <w:sz w:val="24"/>
          <w:szCs w:val="24"/>
        </w:rPr>
      </w:r>
    </w:p>
    <w:p w14:paraId="388C0409">
      <w:pPr>
        <w:pBdr/>
        <w:spacing w:after="120" w:line="240" w:lineRule="auto"/>
        <w:ind/>
        <w:jc w:val="center"/>
        <w:rPr>
          <w:rFonts w:ascii="Georgia" w:hAnsi="Georgia" w:cstheme="minorHAnsi"/>
          <w:sz w:val="24"/>
          <w:szCs w:val="24"/>
        </w:rPr>
      </w:pPr>
      <w:r>
        <w:rPr>
          <w:rFonts w:ascii="Georgia" w:hAnsi="Georgia" w:cstheme="minorHAnsi"/>
          <w:sz w:val="24"/>
          <w:szCs w:val="24"/>
          <w:highlight w:val="none"/>
        </w:rPr>
      </w:r>
      <w:r>
        <w:rPr>
          <w:rFonts w:ascii="Georgia" w:hAnsi="Georgia" w:cstheme="minorHAnsi"/>
          <w:sz w:val="24"/>
          <w:szCs w:val="24"/>
          <w:highlight w:val="none"/>
        </w:rPr>
      </w:r>
      <w:r>
        <w:rPr>
          <w:rFonts w:ascii="Georgia" w:hAnsi="Georgia" w:cstheme="minorHAnsi"/>
          <w:sz w:val="24"/>
          <w:szCs w:val="24"/>
          <w:highlight w:val="none"/>
        </w:rPr>
      </w:r>
    </w:p>
    <w:p w14:paraId="2A2B5CDD">
      <w:pPr>
        <w:pBdr/>
        <w:spacing w:after="120" w:line="240" w:lineRule="auto"/>
        <w:ind/>
        <w:jc w:val="center"/>
        <w:rPr>
          <w:rFonts w:ascii="Georgia" w:hAnsi="Georgia" w:cstheme="minorHAnsi"/>
          <w:sz w:val="24"/>
          <w:szCs w:val="24"/>
          <w:highlight w:val="none"/>
        </w:rPr>
      </w:pPr>
      <w:r>
        <w:rPr>
          <w:rFonts w:ascii="Georgia" w:hAnsi="Georgia" w:cstheme="minorHAnsi"/>
          <w:sz w:val="24"/>
          <w:szCs w:val="24"/>
          <w:highlight w:val="none"/>
        </w:rPr>
      </w:r>
      <w:r>
        <w:rPr>
          <w:rFonts w:ascii="Georgia" w:hAnsi="Georgia" w:cstheme="minorHAnsi"/>
          <w:sz w:val="24"/>
          <w:szCs w:val="24"/>
          <w:highlight w:val="none"/>
        </w:rPr>
      </w:r>
      <w:r>
        <w:rPr>
          <w:rFonts w:ascii="Georgia" w:hAnsi="Georgia" w:cstheme="minorHAnsi"/>
          <w:sz w:val="24"/>
          <w:szCs w:val="24"/>
          <w:highlight w:val="none"/>
        </w:rPr>
      </w:r>
    </w:p>
    <w:p w14:paraId="48538DB5">
      <w:pPr>
        <w:pBdr/>
        <w:spacing w:after="120" w:line="240" w:lineRule="auto"/>
        <w:ind/>
        <w:jc w:val="center"/>
        <w:rPr>
          <w:rFonts w:ascii="Georgia" w:hAnsi="Georgia" w:cstheme="minorHAnsi"/>
          <w:sz w:val="24"/>
          <w:szCs w:val="24"/>
          <w:highlight w:val="none"/>
        </w:rPr>
      </w:pPr>
      <w:r>
        <w:rPr>
          <w:rFonts w:ascii="Georgia" w:hAnsi="Georgia" w:cstheme="minorHAnsi"/>
          <w:sz w:val="24"/>
          <w:szCs w:val="24"/>
          <w:highlight w:val="none"/>
        </w:rPr>
      </w:r>
      <w:r>
        <w:rPr>
          <w:rFonts w:ascii="Georgia" w:hAnsi="Georgia" w:cstheme="minorHAnsi"/>
          <w:sz w:val="24"/>
          <w:szCs w:val="24"/>
          <w:highlight w:val="none"/>
        </w:rPr>
      </w:r>
      <w:r>
        <w:rPr>
          <w:rFonts w:ascii="Georgia" w:hAnsi="Georgia" w:cstheme="minorHAnsi"/>
          <w:sz w:val="24"/>
          <w:szCs w:val="24"/>
          <w:highlight w:val="none"/>
        </w:rPr>
      </w:r>
    </w:p>
    <w:p w14:paraId="00402AC4">
      <w:pPr>
        <w:pBdr/>
        <w:spacing w:after="120" w:line="240" w:lineRule="auto"/>
        <w:ind/>
        <w:jc w:val="center"/>
        <w:rPr>
          <w:rFonts w:ascii="Georgia" w:hAnsi="Georgia" w:cstheme="minorHAnsi"/>
          <w:sz w:val="24"/>
          <w:szCs w:val="24"/>
          <w:highlight w:val="none"/>
        </w:rPr>
      </w:pPr>
      <w:r>
        <w:rPr>
          <w:rFonts w:ascii="Georgia" w:hAnsi="Georgia" w:cstheme="minorHAnsi"/>
          <w:sz w:val="24"/>
          <w:szCs w:val="24"/>
          <w:highlight w:val="none"/>
        </w:rPr>
      </w:r>
      <w:r>
        <w:rPr>
          <w:rFonts w:ascii="Georgia" w:hAnsi="Georgia" w:cstheme="minorHAnsi"/>
          <w:sz w:val="24"/>
          <w:szCs w:val="24"/>
          <w:highlight w:val="none"/>
        </w:rPr>
      </w:r>
      <w:r>
        <w:rPr>
          <w:rFonts w:ascii="Georgia" w:hAnsi="Georgia" w:cstheme="minorHAnsi"/>
          <w:sz w:val="24"/>
          <w:szCs w:val="24"/>
          <w:highlight w:val="none"/>
        </w:rPr>
      </w:r>
    </w:p>
    <w:p w14:paraId="0C0AC688">
      <w:pPr>
        <w:pBdr/>
        <w:spacing w:after="120" w:line="240" w:lineRule="auto"/>
        <w:ind/>
        <w:jc w:val="center"/>
        <w:rPr>
          <w:rFonts w:ascii="Georgia" w:hAnsi="Georgia" w:cstheme="minorHAnsi"/>
          <w:sz w:val="24"/>
          <w:szCs w:val="24"/>
          <w:highlight w:val="none"/>
        </w:rPr>
      </w:pPr>
      <w:r>
        <w:rPr>
          <w:rFonts w:ascii="Georgia" w:hAnsi="Georgia" w:cstheme="minorHAnsi"/>
          <w:sz w:val="24"/>
          <w:szCs w:val="24"/>
          <w:highlight w:val="none"/>
        </w:rPr>
      </w:r>
      <w:r>
        <w:rPr>
          <w:rFonts w:ascii="Georgia" w:hAnsi="Georgia" w:cstheme="minorHAnsi"/>
          <w:sz w:val="24"/>
          <w:szCs w:val="24"/>
          <w:highlight w:val="none"/>
        </w:rPr>
      </w:r>
      <w:r>
        <w:rPr>
          <w:rFonts w:ascii="Georgia" w:hAnsi="Georgia" w:cstheme="minorHAnsi"/>
          <w:sz w:val="24"/>
          <w:szCs w:val="24"/>
          <w:highlight w:val="none"/>
        </w:rPr>
      </w:r>
    </w:p>
    <w:p w14:paraId="2A36A74C">
      <w:pPr>
        <w:pBdr/>
        <w:spacing w:after="120" w:line="240" w:lineRule="auto"/>
        <w:ind/>
        <w:jc w:val="center"/>
        <w:rPr>
          <w:rFonts w:ascii="Georgia" w:hAnsi="Georgia" w:cstheme="minorHAnsi"/>
          <w:sz w:val="24"/>
          <w:szCs w:val="24"/>
          <w:highlight w:val="none"/>
        </w:rPr>
      </w:pPr>
      <w:r>
        <w:rPr>
          <w:rFonts w:ascii="Georgia" w:hAnsi="Georgia" w:cstheme="minorHAnsi"/>
          <w:sz w:val="24"/>
          <w:szCs w:val="24"/>
          <w:highlight w:val="none"/>
        </w:rPr>
      </w:r>
      <w:r>
        <w:rPr>
          <w:rFonts w:ascii="Georgia" w:hAnsi="Georgia" w:cstheme="minorHAnsi"/>
          <w:sz w:val="24"/>
          <w:szCs w:val="24"/>
          <w:highlight w:val="none"/>
        </w:rPr>
      </w:r>
      <w:r>
        <w:rPr>
          <w:rFonts w:ascii="Georgia" w:hAnsi="Georgia" w:cstheme="minorHAnsi"/>
          <w:sz w:val="24"/>
          <w:szCs w:val="24"/>
          <w:highlight w:val="none"/>
        </w:rPr>
      </w:r>
    </w:p>
    <w:p w14:paraId="4E4D1AD0">
      <w:pPr>
        <w:pBdr/>
        <w:spacing w:after="120" w:line="240" w:lineRule="auto"/>
        <w:ind/>
        <w:jc w:val="center"/>
        <w:rPr>
          <w:rFonts w:ascii="Georgia" w:hAnsi="Georgia" w:cstheme="minorHAnsi"/>
          <w:sz w:val="24"/>
          <w:szCs w:val="24"/>
          <w:highlight w:val="none"/>
        </w:rPr>
      </w:pPr>
      <w:r>
        <w:rPr>
          <w:rFonts w:ascii="Georgia" w:hAnsi="Georgia" w:cstheme="minorHAnsi"/>
          <w:sz w:val="24"/>
          <w:szCs w:val="24"/>
          <w:highlight w:val="none"/>
        </w:rPr>
      </w:r>
      <w:r>
        <w:rPr>
          <w:rFonts w:ascii="Georgia" w:hAnsi="Georgia" w:cstheme="minorHAnsi"/>
          <w:sz w:val="24"/>
          <w:szCs w:val="24"/>
          <w:highlight w:val="none"/>
        </w:rPr>
      </w:r>
      <w:r>
        <w:rPr>
          <w:rFonts w:ascii="Georgia" w:hAnsi="Georgia" w:cstheme="minorHAnsi"/>
          <w:sz w:val="24"/>
          <w:szCs w:val="24"/>
          <w:highlight w:val="none"/>
        </w:rPr>
      </w:r>
    </w:p>
    <w:p w14:paraId="4AA0655D">
      <w:pPr>
        <w:pBdr/>
        <w:spacing w:after="120" w:line="240" w:lineRule="auto"/>
        <w:ind/>
        <w:jc w:val="center"/>
        <w:rPr>
          <w:rFonts w:ascii="Georgia" w:hAnsi="Georgia" w:cstheme="minorHAnsi"/>
          <w:sz w:val="24"/>
          <w:szCs w:val="24"/>
          <w:highlight w:val="none"/>
        </w:rPr>
      </w:pPr>
      <w:r>
        <w:rPr>
          <w:rFonts w:ascii="Georgia" w:hAnsi="Georgia" w:cstheme="minorHAnsi"/>
          <w:sz w:val="24"/>
          <w:szCs w:val="24"/>
          <w:highlight w:val="none"/>
        </w:rPr>
      </w:r>
      <w:r>
        <w:rPr>
          <w:rFonts w:ascii="Georgia" w:hAnsi="Georgia" w:cstheme="minorHAnsi"/>
          <w:sz w:val="24"/>
          <w:szCs w:val="24"/>
          <w:highlight w:val="none"/>
        </w:rPr>
      </w:r>
      <w:r>
        <w:rPr>
          <w:rFonts w:ascii="Georgia" w:hAnsi="Georgia" w:cstheme="minorHAnsi"/>
          <w:sz w:val="24"/>
          <w:szCs w:val="24"/>
          <w:highlight w:val="none"/>
        </w:rPr>
      </w:r>
    </w:p>
    <w:p w14:paraId="6E4A01D5">
      <w:pPr>
        <w:pBdr/>
        <w:spacing w:after="120" w:line="240" w:lineRule="auto"/>
        <w:ind/>
        <w:jc w:val="center"/>
        <w:rPr>
          <w:rFonts w:ascii="Georgia" w:hAnsi="Georgia" w:cstheme="minorHAnsi"/>
          <w:sz w:val="24"/>
          <w:szCs w:val="24"/>
          <w:highlight w:val="none"/>
        </w:rPr>
      </w:pPr>
      <w:r>
        <w:rPr>
          <w:rFonts w:ascii="Georgia" w:hAnsi="Georgia" w:cstheme="minorHAnsi"/>
          <w:sz w:val="24"/>
          <w:szCs w:val="24"/>
          <w:highlight w:val="none"/>
        </w:rPr>
      </w:r>
      <w:r>
        <w:rPr>
          <w:rFonts w:ascii="Georgia" w:hAnsi="Georgia" w:cstheme="minorHAnsi"/>
          <w:sz w:val="24"/>
          <w:szCs w:val="24"/>
          <w:highlight w:val="none"/>
        </w:rPr>
      </w:r>
      <w:r>
        <w:rPr>
          <w:rFonts w:ascii="Georgia" w:hAnsi="Georgia" w:cstheme="minorHAnsi"/>
          <w:sz w:val="24"/>
          <w:szCs w:val="24"/>
          <w:highlight w:val="none"/>
        </w:rPr>
      </w:r>
    </w:p>
    <w:p w14:paraId="7D6719B3">
      <w:pPr>
        <w:pBdr/>
        <w:spacing w:after="120" w:line="240" w:lineRule="auto"/>
        <w:ind/>
        <w:jc w:val="center"/>
        <w:rPr>
          <w:rFonts w:ascii="Georgia" w:hAnsi="Georgia" w:cstheme="minorHAnsi"/>
          <w:sz w:val="24"/>
          <w:szCs w:val="24"/>
          <w:highlight w:val="none"/>
        </w:rPr>
      </w:pPr>
      <w:r>
        <w:rPr>
          <w:rFonts w:ascii="Georgia" w:hAnsi="Georgia" w:cstheme="minorHAnsi"/>
          <w:sz w:val="24"/>
          <w:szCs w:val="24"/>
          <w:highlight w:val="none"/>
        </w:rPr>
      </w:r>
      <w:r>
        <w:rPr>
          <w:rFonts w:ascii="Georgia" w:hAnsi="Georgia" w:cstheme="minorHAnsi"/>
          <w:sz w:val="24"/>
          <w:szCs w:val="24"/>
          <w:highlight w:val="none"/>
        </w:rPr>
      </w:r>
      <w:r>
        <w:rPr>
          <w:rFonts w:ascii="Georgia" w:hAnsi="Georgia" w:cstheme="minorHAnsi"/>
          <w:sz w:val="24"/>
          <w:szCs w:val="24"/>
          <w:highlight w:val="none"/>
        </w:rPr>
      </w:r>
    </w:p>
    <w:p w14:paraId="2BDF1A71">
      <w:pPr>
        <w:pBdr/>
        <w:spacing w:after="120" w:line="240" w:lineRule="auto"/>
        <w:ind/>
        <w:jc w:val="center"/>
        <w:rPr>
          <w:rFonts w:ascii="Georgia" w:hAnsi="Georgia" w:cstheme="minorHAnsi"/>
          <w:sz w:val="24"/>
          <w:szCs w:val="24"/>
          <w:highlight w:val="none"/>
        </w:rPr>
      </w:pPr>
      <w:r>
        <w:rPr>
          <w:rFonts w:ascii="Georgia" w:hAnsi="Georgia" w:cstheme="minorHAnsi"/>
          <w:sz w:val="24"/>
          <w:szCs w:val="24"/>
          <w:highlight w:val="none"/>
        </w:rPr>
      </w:r>
      <w:r>
        <w:rPr>
          <w:rFonts w:ascii="Georgia" w:hAnsi="Georgia" w:cstheme="minorHAnsi"/>
          <w:sz w:val="24"/>
          <w:szCs w:val="24"/>
          <w:highlight w:val="none"/>
        </w:rPr>
      </w:r>
      <w:r>
        <w:rPr>
          <w:rFonts w:ascii="Georgia" w:hAnsi="Georgia" w:cstheme="minorHAnsi"/>
          <w:sz w:val="24"/>
          <w:szCs w:val="24"/>
          <w:highlight w:val="none"/>
        </w:rPr>
      </w:r>
    </w:p>
    <w:p w14:paraId="23674B7A" w14:textId="34437FC3">
      <w:pPr>
        <w:pBdr/>
        <w:spacing w:after="120" w:line="240" w:lineRule="auto"/>
        <w:ind/>
        <w:jc w:val="center"/>
        <w:rPr>
          <w:rFonts w:ascii="Georgia" w:hAnsi="Georgia" w:cstheme="minorHAnsi"/>
          <w:sz w:val="24"/>
          <w:szCs w:val="24"/>
          <w:highlight w:val="none"/>
        </w:rPr>
      </w:pPr>
      <w:r>
        <w:rPr>
          <w:rFonts w:ascii="Georgia" w:hAnsi="Georgia" w:cstheme="minorHAnsi"/>
          <w:b/>
          <w:bCs/>
          <w:sz w:val="24"/>
          <w:szCs w:val="24"/>
        </w:rPr>
        <w:t xml:space="preserve">Figura 10</w:t>
      </w:r>
      <w:r>
        <w:rPr>
          <w:rFonts w:ascii="Georgia" w:hAnsi="Georgia" w:cstheme="minorHAnsi"/>
          <w:sz w:val="24"/>
          <w:szCs w:val="24"/>
        </w:rPr>
        <w:t xml:space="preserve"> – Valor Adicionado Fiscal (em milhões) da RGI Alfenas entre 2014 e 2023</w:t>
      </w:r>
      <w:r>
        <w:rPr>
          <w:rFonts w:ascii="Georgia" w:hAnsi="Georgia" w:cstheme="minorHAnsi"/>
          <w:sz w:val="24"/>
          <w:szCs w:val="24"/>
        </w:rPr>
      </w:r>
    </w:p>
    <w:p w14:paraId="4CC739D2" w14:textId="77777777">
      <w:pPr>
        <w:pBdr/>
        <w:spacing w:after="120" w:line="360" w:lineRule="auto"/>
        <w:ind/>
        <w:jc w:val="center"/>
        <w:rPr>
          <w:rFonts w:ascii="Georgia" w:hAnsi="Georgia" w:cstheme="minorHAnsi"/>
          <w:sz w:val="24"/>
          <w:szCs w:val="24"/>
        </w:rPr>
      </w:pPr>
      <w:r>
        <w:rPr>
          <w:rFonts w:ascii="Georgia" w:hAnsi="Georgia"/>
        </w:rPr>
        <w:drawing>
          <wp:inline distT="0" distB="0" distL="0" distR="0">
            <wp:extent cx="5095240" cy="2914015"/>
            <wp:effectExtent l="0" t="0" r="10160" b="635"/>
            <wp:docPr id="15"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r>
        <w:rPr>
          <w:rFonts w:ascii="Georgia" w:hAnsi="Georgia" w:cstheme="minorHAnsi"/>
          <w:sz w:val="24"/>
          <w:szCs w:val="24"/>
        </w:rPr>
      </w:r>
    </w:p>
    <w:p w14:paraId="12021777" w14:textId="77777777">
      <w:pPr>
        <w:pBdr/>
        <w:spacing w:after="120" w:line="360" w:lineRule="auto"/>
        <w:ind/>
        <w:jc w:val="center"/>
        <w:rPr>
          <w:rFonts w:ascii="Georgia" w:hAnsi="Georgia" w:cstheme="minorHAnsi"/>
          <w:sz w:val="20"/>
          <w:szCs w:val="20"/>
        </w:rPr>
      </w:pPr>
      <w:r>
        <w:rPr>
          <w:rFonts w:ascii="Georgia" w:hAnsi="Georgia" w:cstheme="minorHAnsi"/>
          <w:sz w:val="20"/>
          <w:szCs w:val="20"/>
        </w:rPr>
        <w:t xml:space="preserve">Fonte: Sigma, 2025. Organização: o autor.</w:t>
      </w:r>
      <w:r>
        <w:rPr>
          <w:rFonts w:ascii="Georgia" w:hAnsi="Georgia" w:cstheme="minorHAnsi"/>
          <w:sz w:val="20"/>
          <w:szCs w:val="20"/>
        </w:rPr>
      </w:r>
    </w:p>
    <w:p w14:paraId="5744AEF3" w14:textId="77777777">
      <w:pPr>
        <w:pBdr/>
        <w:spacing w:after="120" w:line="360" w:lineRule="auto"/>
        <w:ind w:firstLine="700"/>
        <w:jc w:val="both"/>
        <w:rPr>
          <w:rFonts w:ascii="Georgia" w:hAnsi="Georgia" w:cstheme="minorHAnsi"/>
          <w:sz w:val="24"/>
          <w:szCs w:val="24"/>
        </w:rPr>
      </w:pPr>
      <w:r>
        <w:rPr>
          <w:rFonts w:ascii="Georgia" w:hAnsi="Georgia" w:cstheme="minorHAnsi"/>
          <w:sz w:val="24"/>
          <w:szCs w:val="24"/>
        </w:rPr>
        <w:t xml:space="preserve">O</w:t>
      </w:r>
      <w:r>
        <w:rPr>
          <w:rFonts w:ascii="Georgia" w:hAnsi="Georgia" w:cstheme="minorHAnsi"/>
          <w:sz w:val="24"/>
          <w:szCs w:val="24"/>
        </w:rPr>
        <w:t xml:space="preserve">s números do gráfico anterior demonstram ritmos de crescimento diferenciados dos dois maiores municípios, Alfenas e Machado, em relação aos demais da região imediata após 2020. Neste período, os dois maiores municípios apresentaram uma oscilação maior, com</w:t>
      </w:r>
      <w:r>
        <w:rPr>
          <w:rFonts w:ascii="Georgia" w:hAnsi="Georgia" w:cstheme="minorHAnsi"/>
          <w:sz w:val="24"/>
          <w:szCs w:val="24"/>
        </w:rPr>
        <w:t xml:space="preserve"> um elevado crescimento seguido de uma queda acentuada. Em termos do VAF, houve uma saída pronunciada de bens e serviços no período, indicando um superávit, seguida de uma queda mais pronunciada, com mais entrada de bens e serviços, registrando um déficit.</w:t>
      </w:r>
      <w:r>
        <w:rPr>
          <w:rFonts w:ascii="Georgia" w:hAnsi="Georgia" w:cstheme="minorHAnsi"/>
          <w:sz w:val="24"/>
          <w:szCs w:val="24"/>
        </w:rPr>
      </w:r>
    </w:p>
    <w:p w14:paraId="5674ADF3" w14:textId="1CB9E211">
      <w:pPr>
        <w:pBdr/>
        <w:spacing w:after="120" w:line="360" w:lineRule="auto"/>
        <w:ind w:firstLine="700"/>
        <w:jc w:val="both"/>
        <w:rPr>
          <w:rFonts w:ascii="Georgia" w:hAnsi="Georgia" w:cstheme="minorHAnsi"/>
          <w:sz w:val="24"/>
          <w:szCs w:val="24"/>
        </w:rPr>
      </w:pPr>
      <w:r>
        <w:rPr>
          <w:rFonts w:ascii="Georgia" w:hAnsi="Georgia" w:cstheme="minorHAnsi"/>
          <w:sz w:val="24"/>
          <w:szCs w:val="24"/>
        </w:rPr>
        <w:t xml:space="preserve">Este é o período da pandemia da COVID-19, em que a economia oscilou de um modo geral, mas considerando as principais saídas de mercadorias dos municípios da região, referentes às exportações de café (Tabela </w:t>
      </w:r>
      <w:r>
        <w:rPr>
          <w:rFonts w:ascii="Georgia" w:hAnsi="Georgia" w:cstheme="minorHAnsi"/>
          <w:sz w:val="24"/>
          <w:szCs w:val="24"/>
        </w:rPr>
        <w:t xml:space="preserve">4</w:t>
      </w:r>
      <w:r>
        <w:rPr>
          <w:rFonts w:ascii="Georgia" w:hAnsi="Georgia" w:cstheme="minorHAnsi"/>
          <w:sz w:val="24"/>
          <w:szCs w:val="24"/>
        </w:rPr>
        <w:t xml:space="preserve">), esta especialização contribuiu significativamente para a oscilação do VAF. Revela também a especialização e dependência da região na produção de café, uma </w:t>
      </w:r>
      <w:r>
        <w:rPr>
          <w:rFonts w:ascii="Georgia" w:hAnsi="Georgia" w:cstheme="minorHAnsi"/>
          <w:i/>
          <w:iCs/>
          <w:sz w:val="24"/>
          <w:szCs w:val="24"/>
        </w:rPr>
        <w:t xml:space="preserve">commodity</w:t>
      </w:r>
      <w:r>
        <w:rPr>
          <w:rFonts w:ascii="Georgia" w:hAnsi="Georgia" w:cstheme="minorHAnsi"/>
          <w:sz w:val="24"/>
          <w:szCs w:val="24"/>
        </w:rPr>
        <w:t xml:space="preserve">, portanto, vulnerável às oscilações de preços no mercado internacional.</w:t>
      </w:r>
      <w:r>
        <w:rPr>
          <w:rFonts w:ascii="Georgia" w:hAnsi="Georgia" w:cstheme="minorHAnsi"/>
          <w:sz w:val="24"/>
          <w:szCs w:val="24"/>
        </w:rPr>
      </w:r>
    </w:p>
    <w:p w14:paraId="5D958A16">
      <w:pPr>
        <w:pBdr/>
        <w:spacing w:after="120" w:line="360" w:lineRule="auto"/>
        <w:ind/>
        <w:jc w:val="center"/>
        <w:rPr>
          <w:rFonts w:ascii="Georgia" w:hAnsi="Georgia" w:cstheme="minorHAnsi"/>
          <w:sz w:val="24"/>
          <w:szCs w:val="24"/>
        </w:rPr>
      </w:pPr>
      <w:r>
        <w:rPr>
          <w:rFonts w:ascii="Georgia" w:hAnsi="Georgia" w:cstheme="minorHAnsi"/>
          <w:sz w:val="24"/>
          <w:szCs w:val="24"/>
          <w:highlight w:val="none"/>
        </w:rPr>
      </w:r>
      <w:r>
        <w:rPr>
          <w:rFonts w:ascii="Georgia" w:hAnsi="Georgia" w:cstheme="minorHAnsi"/>
          <w:sz w:val="24"/>
          <w:szCs w:val="24"/>
          <w:highlight w:val="none"/>
        </w:rPr>
      </w:r>
      <w:r>
        <w:rPr>
          <w:rFonts w:ascii="Georgia" w:hAnsi="Georgia" w:cstheme="minorHAnsi"/>
          <w:sz w:val="24"/>
          <w:szCs w:val="24"/>
          <w:highlight w:val="none"/>
        </w:rPr>
      </w:r>
    </w:p>
    <w:p w14:paraId="42086668">
      <w:pPr>
        <w:pBdr/>
        <w:spacing w:after="120" w:line="360" w:lineRule="auto"/>
        <w:ind/>
        <w:jc w:val="center"/>
        <w:rPr>
          <w:rFonts w:ascii="Georgia" w:hAnsi="Georgia" w:cstheme="minorHAnsi"/>
          <w:sz w:val="24"/>
          <w:szCs w:val="24"/>
          <w:highlight w:val="none"/>
        </w:rPr>
      </w:pPr>
      <w:r>
        <w:rPr>
          <w:rFonts w:ascii="Georgia" w:hAnsi="Georgia" w:cstheme="minorHAnsi"/>
          <w:sz w:val="24"/>
          <w:szCs w:val="24"/>
          <w:highlight w:val="none"/>
        </w:rPr>
      </w:r>
      <w:r>
        <w:rPr>
          <w:rFonts w:ascii="Georgia" w:hAnsi="Georgia" w:cstheme="minorHAnsi"/>
          <w:sz w:val="24"/>
          <w:szCs w:val="24"/>
          <w:highlight w:val="none"/>
        </w:rPr>
      </w:r>
      <w:r>
        <w:rPr>
          <w:rFonts w:ascii="Georgia" w:hAnsi="Georgia" w:cstheme="minorHAnsi"/>
          <w:sz w:val="24"/>
          <w:szCs w:val="24"/>
          <w:highlight w:val="none"/>
        </w:rPr>
      </w:r>
    </w:p>
    <w:p w14:paraId="6347A8F9">
      <w:pPr>
        <w:pBdr/>
        <w:spacing w:after="120" w:line="360" w:lineRule="auto"/>
        <w:ind/>
        <w:jc w:val="center"/>
        <w:rPr>
          <w:rFonts w:ascii="Georgia" w:hAnsi="Georgia" w:cstheme="minorHAnsi"/>
          <w:sz w:val="24"/>
          <w:szCs w:val="24"/>
          <w:highlight w:val="none"/>
        </w:rPr>
      </w:pPr>
      <w:r>
        <w:rPr>
          <w:rFonts w:ascii="Georgia" w:hAnsi="Georgia" w:cstheme="minorHAnsi"/>
          <w:sz w:val="24"/>
          <w:szCs w:val="24"/>
          <w:highlight w:val="none"/>
        </w:rPr>
      </w:r>
      <w:r>
        <w:rPr>
          <w:rFonts w:ascii="Georgia" w:hAnsi="Georgia" w:cstheme="minorHAnsi"/>
          <w:sz w:val="24"/>
          <w:szCs w:val="24"/>
          <w:highlight w:val="none"/>
        </w:rPr>
      </w:r>
      <w:r>
        <w:rPr>
          <w:rFonts w:ascii="Georgia" w:hAnsi="Georgia" w:cstheme="minorHAnsi"/>
          <w:sz w:val="24"/>
          <w:szCs w:val="24"/>
          <w:highlight w:val="none"/>
        </w:rPr>
      </w:r>
    </w:p>
    <w:p w14:paraId="55422E0D" w14:textId="18EEF8BA">
      <w:pPr>
        <w:pBdr/>
        <w:spacing w:after="120" w:line="360" w:lineRule="auto"/>
        <w:ind/>
        <w:jc w:val="center"/>
        <w:rPr>
          <w:rFonts w:ascii="Georgia" w:hAnsi="Georgia" w:cstheme="minorHAnsi"/>
          <w:sz w:val="24"/>
          <w:szCs w:val="24"/>
          <w:highlight w:val="none"/>
        </w:rPr>
      </w:pPr>
      <w:r>
        <w:rPr>
          <w:rFonts w:ascii="Georgia" w:hAnsi="Georgia" w:cstheme="minorHAnsi"/>
          <w:b/>
          <w:bCs/>
          <w:sz w:val="24"/>
          <w:szCs w:val="24"/>
        </w:rPr>
        <w:t xml:space="preserve">Tabela </w:t>
      </w:r>
      <w:r>
        <w:rPr>
          <w:rFonts w:ascii="Georgia" w:hAnsi="Georgia" w:cstheme="minorHAnsi"/>
          <w:b/>
          <w:bCs/>
          <w:sz w:val="24"/>
          <w:szCs w:val="24"/>
        </w:rPr>
        <w:t xml:space="preserve">4</w:t>
      </w:r>
      <w:r>
        <w:rPr>
          <w:rFonts w:ascii="Georgia" w:hAnsi="Georgia" w:cstheme="minorHAnsi"/>
          <w:sz w:val="24"/>
          <w:szCs w:val="24"/>
        </w:rPr>
        <w:t xml:space="preserve"> – Principais exportações d</w:t>
      </w:r>
      <w:r>
        <w:rPr>
          <w:rFonts w:ascii="Georgia" w:hAnsi="Georgia" w:cstheme="minorHAnsi"/>
          <w:sz w:val="24"/>
          <w:szCs w:val="24"/>
        </w:rPr>
        <w:t xml:space="preserve">os</w:t>
      </w:r>
      <w:r>
        <w:rPr>
          <w:rFonts w:ascii="Georgia" w:hAnsi="Georgia" w:cstheme="minorHAnsi"/>
          <w:sz w:val="24"/>
          <w:szCs w:val="24"/>
        </w:rPr>
        <w:t xml:space="preserve"> municípios da RGI Alfenas em 2024</w:t>
      </w:r>
      <w:r>
        <w:rPr>
          <w:rStyle w:val="851"/>
          <w:rFonts w:ascii="Georgia" w:hAnsi="Georgia" w:cstheme="minorHAnsi"/>
          <w:sz w:val="24"/>
          <w:szCs w:val="24"/>
        </w:rPr>
        <w:footnoteReference w:id="3"/>
      </w:r>
      <w:r>
        <w:rPr>
          <w:rFonts w:ascii="Georgia" w:hAnsi="Georgia" w:cstheme="minorHAnsi"/>
          <w:sz w:val="24"/>
          <w:szCs w:val="24"/>
        </w:rPr>
      </w:r>
    </w:p>
    <w:tbl>
      <w:tblPr>
        <w:tblStyle w:val="852"/>
        <w:jc w:val="center"/>
        <w:tblW w:w="0" w:type="auto"/>
        <w:tblBorders/>
        <w:tblLook w:val="04A0" w:firstRow="1" w:lastRow="0" w:firstColumn="1" w:lastColumn="0" w:noHBand="0" w:noVBand="1"/>
      </w:tblPr>
      <w:tblGrid>
        <w:gridCol w:w="2831"/>
        <w:gridCol w:w="2831"/>
        <w:gridCol w:w="2832"/>
      </w:tblGrid>
      <w:tr>
        <w:trPr>
          <w:jc w:val="center"/>
        </w:trPr>
        <w:tc>
          <w:tcPr>
            <w:tcBorders/>
            <w:tcW w:w="2831" w:type="dxa"/>
          </w:tcPr>
          <w:p w14:paraId="66ED87CE" w14:textId="77777777">
            <w:pPr>
              <w:pBdr/>
              <w:spacing w:line="360" w:lineRule="auto"/>
              <w:ind/>
              <w:rPr>
                <w:rFonts w:ascii="Georgia" w:hAnsi="Georgia" w:cstheme="minorHAnsi"/>
                <w:b/>
                <w:bCs/>
              </w:rPr>
            </w:pPr>
            <w:r>
              <w:rPr>
                <w:rFonts w:ascii="Georgia" w:hAnsi="Georgia" w:cstheme="minorHAnsi"/>
                <w:b/>
                <w:bCs/>
              </w:rPr>
              <w:t xml:space="preserve">Município</w:t>
            </w:r>
            <w:r>
              <w:rPr>
                <w:rFonts w:ascii="Georgia" w:hAnsi="Georgia" w:cstheme="minorHAnsi"/>
                <w:b/>
                <w:bCs/>
              </w:rPr>
            </w:r>
          </w:p>
        </w:tc>
        <w:tc>
          <w:tcPr>
            <w:tcBorders/>
            <w:tcW w:w="2831" w:type="dxa"/>
          </w:tcPr>
          <w:p w14:paraId="417FD6EF" w14:textId="77777777">
            <w:pPr>
              <w:pBdr/>
              <w:spacing w:line="360" w:lineRule="auto"/>
              <w:ind/>
              <w:rPr>
                <w:rFonts w:ascii="Georgia" w:hAnsi="Georgia" w:cstheme="minorHAnsi"/>
                <w:b/>
                <w:bCs/>
              </w:rPr>
            </w:pPr>
            <w:r>
              <w:rPr>
                <w:rFonts w:ascii="Georgia" w:hAnsi="Georgia" w:cstheme="minorHAnsi"/>
                <w:b/>
                <w:bCs/>
              </w:rPr>
              <w:t xml:space="preserve">Produto </w:t>
            </w:r>
            <w:r>
              <w:rPr>
                <w:rFonts w:ascii="Georgia" w:hAnsi="Georgia" w:cstheme="minorHAnsi"/>
                <w:b/>
                <w:bCs/>
              </w:rPr>
            </w:r>
          </w:p>
        </w:tc>
        <w:tc>
          <w:tcPr>
            <w:tcBorders/>
            <w:tcW w:w="2832" w:type="dxa"/>
          </w:tcPr>
          <w:p w14:paraId="60655448" w14:textId="77777777">
            <w:pPr>
              <w:pBdr/>
              <w:spacing w:line="360" w:lineRule="auto"/>
              <w:ind/>
              <w:rPr>
                <w:rFonts w:ascii="Georgia" w:hAnsi="Georgia" w:cstheme="minorHAnsi"/>
                <w:b/>
                <w:bCs/>
              </w:rPr>
            </w:pPr>
            <w:r>
              <w:rPr>
                <w:rFonts w:ascii="Georgia" w:hAnsi="Georgia" w:cstheme="minorHAnsi"/>
                <w:b/>
                <w:bCs/>
              </w:rPr>
              <w:t xml:space="preserve">Valor US$ 2024</w:t>
            </w:r>
            <w:r>
              <w:rPr>
                <w:rFonts w:ascii="Georgia" w:hAnsi="Georgia" w:cstheme="minorHAnsi"/>
                <w:b/>
                <w:bCs/>
              </w:rPr>
            </w:r>
          </w:p>
        </w:tc>
      </w:tr>
      <w:tr>
        <w:trPr>
          <w:jc w:val="center"/>
        </w:trPr>
        <w:tc>
          <w:tcPr>
            <w:tcBorders/>
            <w:tcW w:w="2831" w:type="dxa"/>
          </w:tcPr>
          <w:p w14:paraId="21BEBA18" w14:textId="77777777">
            <w:pPr>
              <w:pBdr/>
              <w:spacing w:line="360" w:lineRule="auto"/>
              <w:ind/>
              <w:rPr>
                <w:rFonts w:ascii="Georgia" w:hAnsi="Georgia" w:cstheme="minorHAnsi"/>
              </w:rPr>
            </w:pPr>
            <w:r>
              <w:rPr>
                <w:rFonts w:ascii="Georgia" w:hAnsi="Georgia" w:cstheme="minorHAnsi"/>
              </w:rPr>
              <w:t xml:space="preserve">Alfenas </w:t>
            </w:r>
            <w:r>
              <w:rPr>
                <w:rFonts w:ascii="Georgia" w:hAnsi="Georgia" w:cstheme="minorHAnsi"/>
              </w:rPr>
            </w:r>
          </w:p>
        </w:tc>
        <w:tc>
          <w:tcPr>
            <w:tcBorders/>
            <w:tcW w:w="2831" w:type="dxa"/>
          </w:tcPr>
          <w:p w14:paraId="2CF5DFC5" w14:textId="77777777">
            <w:pPr>
              <w:pBdr/>
              <w:spacing w:line="360" w:lineRule="auto"/>
              <w:ind/>
              <w:rPr>
                <w:rFonts w:ascii="Georgia" w:hAnsi="Georgia" w:cstheme="minorHAnsi"/>
              </w:rPr>
            </w:pPr>
            <w:r>
              <w:rPr>
                <w:rFonts w:ascii="Georgia" w:hAnsi="Georgia" w:cstheme="minorHAnsi"/>
              </w:rPr>
              <w:t xml:space="preserve">Café </w:t>
            </w:r>
            <w:r>
              <w:rPr>
                <w:rFonts w:ascii="Georgia" w:hAnsi="Georgia" w:cstheme="minorHAnsi"/>
              </w:rPr>
            </w:r>
          </w:p>
        </w:tc>
        <w:tc>
          <w:tcPr>
            <w:tcBorders/>
            <w:tcW w:w="2832" w:type="dxa"/>
          </w:tcPr>
          <w:p w14:paraId="6F96531E" w14:textId="77777777">
            <w:pPr>
              <w:pBdr/>
              <w:spacing w:line="360" w:lineRule="auto"/>
              <w:ind/>
              <w:rPr>
                <w:rFonts w:ascii="Georgia" w:hAnsi="Georgia" w:cstheme="minorHAnsi"/>
              </w:rPr>
            </w:pPr>
            <w:r>
              <w:rPr>
                <w:rFonts w:ascii="Georgia" w:hAnsi="Georgia" w:cstheme="minorHAnsi"/>
              </w:rPr>
              <w:t xml:space="preserve">632.307.256</w:t>
            </w:r>
            <w:r>
              <w:rPr>
                <w:rFonts w:ascii="Georgia" w:hAnsi="Georgia" w:cstheme="minorHAnsi"/>
              </w:rPr>
            </w:r>
          </w:p>
        </w:tc>
      </w:tr>
      <w:tr>
        <w:trPr>
          <w:jc w:val="center"/>
        </w:trPr>
        <w:tc>
          <w:tcPr>
            <w:tcBorders/>
            <w:tcW w:w="2831" w:type="dxa"/>
          </w:tcPr>
          <w:p w14:paraId="0D0A36FD" w14:textId="77777777">
            <w:pPr>
              <w:pBdr/>
              <w:spacing w:line="360" w:lineRule="auto"/>
              <w:ind/>
              <w:rPr>
                <w:rFonts w:ascii="Georgia" w:hAnsi="Georgia" w:cstheme="minorHAnsi"/>
              </w:rPr>
            </w:pPr>
            <w:r>
              <w:rPr>
                <w:rFonts w:ascii="Georgia" w:hAnsi="Georgia" w:cstheme="minorHAnsi"/>
              </w:rPr>
              <w:t xml:space="preserve">Machado</w:t>
            </w:r>
            <w:r>
              <w:rPr>
                <w:rFonts w:ascii="Georgia" w:hAnsi="Georgia" w:cstheme="minorHAnsi"/>
              </w:rPr>
            </w:r>
          </w:p>
        </w:tc>
        <w:tc>
          <w:tcPr>
            <w:tcBorders/>
            <w:tcW w:w="2831" w:type="dxa"/>
          </w:tcPr>
          <w:p w14:paraId="5BEC3E15" w14:textId="77777777">
            <w:pPr>
              <w:pBdr/>
              <w:spacing w:line="360" w:lineRule="auto"/>
              <w:ind/>
              <w:rPr>
                <w:rFonts w:ascii="Georgia" w:hAnsi="Georgia" w:cstheme="minorHAnsi"/>
              </w:rPr>
            </w:pPr>
            <w:r>
              <w:rPr>
                <w:rFonts w:ascii="Georgia" w:hAnsi="Georgia" w:cstheme="minorHAnsi"/>
              </w:rPr>
              <w:t xml:space="preserve">Café </w:t>
            </w:r>
            <w:r>
              <w:rPr>
                <w:rFonts w:ascii="Georgia" w:hAnsi="Georgia" w:cstheme="minorHAnsi"/>
              </w:rPr>
            </w:r>
          </w:p>
        </w:tc>
        <w:tc>
          <w:tcPr>
            <w:tcBorders/>
            <w:tcW w:w="2832" w:type="dxa"/>
          </w:tcPr>
          <w:p w14:paraId="111691FC" w14:textId="77777777">
            <w:pPr>
              <w:pBdr/>
              <w:spacing w:line="360" w:lineRule="auto"/>
              <w:ind/>
              <w:rPr>
                <w:rFonts w:ascii="Georgia" w:hAnsi="Georgia" w:cstheme="minorHAnsi"/>
              </w:rPr>
            </w:pPr>
            <w:r>
              <w:rPr>
                <w:rFonts w:ascii="Georgia" w:hAnsi="Georgia" w:cstheme="minorHAnsi"/>
              </w:rPr>
              <w:t xml:space="preserve">268.567.917</w:t>
            </w:r>
            <w:r>
              <w:rPr>
                <w:rFonts w:ascii="Georgia" w:hAnsi="Georgia" w:cstheme="minorHAnsi"/>
              </w:rPr>
            </w:r>
          </w:p>
        </w:tc>
      </w:tr>
      <w:tr>
        <w:trPr>
          <w:jc w:val="center"/>
        </w:trPr>
        <w:tc>
          <w:tcPr>
            <w:tcBorders/>
            <w:tcW w:w="2831" w:type="dxa"/>
          </w:tcPr>
          <w:p w14:paraId="3D8403D5" w14:textId="77777777">
            <w:pPr>
              <w:pBdr/>
              <w:spacing w:line="360" w:lineRule="auto"/>
              <w:ind/>
              <w:rPr>
                <w:rFonts w:ascii="Georgia" w:hAnsi="Georgia" w:cstheme="minorHAnsi"/>
              </w:rPr>
            </w:pPr>
            <w:r>
              <w:rPr>
                <w:rFonts w:ascii="Georgia" w:hAnsi="Georgia" w:cstheme="minorHAnsi"/>
              </w:rPr>
              <w:t xml:space="preserve">Paraguaçu</w:t>
            </w:r>
            <w:r>
              <w:rPr>
                <w:rFonts w:ascii="Georgia" w:hAnsi="Georgia" w:cstheme="minorHAnsi"/>
              </w:rPr>
            </w:r>
          </w:p>
        </w:tc>
        <w:tc>
          <w:tcPr>
            <w:tcBorders/>
            <w:tcW w:w="2831" w:type="dxa"/>
          </w:tcPr>
          <w:p w14:paraId="0C93E8CF" w14:textId="77777777">
            <w:pPr>
              <w:pBdr/>
              <w:spacing w:line="360" w:lineRule="auto"/>
              <w:ind/>
              <w:rPr>
                <w:rFonts w:ascii="Georgia" w:hAnsi="Georgia" w:cstheme="minorHAnsi"/>
              </w:rPr>
            </w:pPr>
            <w:r>
              <w:rPr>
                <w:rFonts w:ascii="Georgia" w:hAnsi="Georgia" w:cstheme="minorHAnsi"/>
              </w:rPr>
              <w:t xml:space="preserve">Café</w:t>
            </w:r>
            <w:r>
              <w:rPr>
                <w:rFonts w:ascii="Georgia" w:hAnsi="Georgia" w:cstheme="minorHAnsi"/>
              </w:rPr>
            </w:r>
          </w:p>
        </w:tc>
        <w:tc>
          <w:tcPr>
            <w:tcBorders/>
            <w:tcW w:w="2832" w:type="dxa"/>
          </w:tcPr>
          <w:p w14:paraId="21570C4B" w14:textId="77777777">
            <w:pPr>
              <w:pBdr/>
              <w:spacing w:line="360" w:lineRule="auto"/>
              <w:ind/>
              <w:rPr>
                <w:rFonts w:ascii="Georgia" w:hAnsi="Georgia" w:cstheme="minorHAnsi"/>
              </w:rPr>
            </w:pPr>
            <w:r>
              <w:rPr>
                <w:rFonts w:ascii="Georgia" w:hAnsi="Georgia" w:cstheme="minorHAnsi"/>
              </w:rPr>
              <w:t xml:space="preserve">20.114.742</w:t>
            </w:r>
            <w:r>
              <w:rPr>
                <w:rFonts w:ascii="Georgia" w:hAnsi="Georgia" w:cstheme="minorHAnsi"/>
              </w:rPr>
            </w:r>
          </w:p>
        </w:tc>
      </w:tr>
      <w:tr>
        <w:trPr>
          <w:jc w:val="center"/>
        </w:trPr>
        <w:tc>
          <w:tcPr>
            <w:tcBorders/>
            <w:tcW w:w="2831" w:type="dxa"/>
          </w:tcPr>
          <w:p w14:paraId="6558EAC2" w14:textId="77777777">
            <w:pPr>
              <w:pBdr/>
              <w:spacing w:line="360" w:lineRule="auto"/>
              <w:ind/>
              <w:rPr>
                <w:rFonts w:ascii="Georgia" w:hAnsi="Georgia" w:cstheme="minorHAnsi"/>
              </w:rPr>
            </w:pPr>
            <w:r>
              <w:rPr>
                <w:rFonts w:ascii="Georgia" w:hAnsi="Georgia" w:cstheme="minorHAnsi"/>
              </w:rPr>
              <w:t xml:space="preserve">Poço Fundo</w:t>
            </w:r>
            <w:r>
              <w:rPr>
                <w:rFonts w:ascii="Georgia" w:hAnsi="Georgia" w:cstheme="minorHAnsi"/>
              </w:rPr>
            </w:r>
          </w:p>
        </w:tc>
        <w:tc>
          <w:tcPr>
            <w:tcBorders/>
            <w:tcW w:w="2831" w:type="dxa"/>
          </w:tcPr>
          <w:p w14:paraId="1F32F669" w14:textId="77777777">
            <w:pPr>
              <w:pBdr/>
              <w:spacing w:line="360" w:lineRule="auto"/>
              <w:ind/>
              <w:rPr>
                <w:rFonts w:ascii="Georgia" w:hAnsi="Georgia" w:cstheme="minorHAnsi"/>
              </w:rPr>
            </w:pPr>
            <w:r>
              <w:rPr>
                <w:rFonts w:ascii="Georgia" w:hAnsi="Georgia" w:cstheme="minorHAnsi"/>
              </w:rPr>
              <w:t xml:space="preserve">Café</w:t>
            </w:r>
            <w:r>
              <w:rPr>
                <w:rFonts w:ascii="Georgia" w:hAnsi="Georgia" w:cstheme="minorHAnsi"/>
              </w:rPr>
            </w:r>
          </w:p>
        </w:tc>
        <w:tc>
          <w:tcPr>
            <w:tcBorders/>
            <w:tcW w:w="2832" w:type="dxa"/>
          </w:tcPr>
          <w:p w14:paraId="0123DD22" w14:textId="77777777">
            <w:pPr>
              <w:pBdr/>
              <w:spacing w:line="360" w:lineRule="auto"/>
              <w:ind/>
              <w:rPr>
                <w:rFonts w:ascii="Georgia" w:hAnsi="Georgia" w:cstheme="minorHAnsi"/>
              </w:rPr>
            </w:pPr>
            <w:r>
              <w:rPr>
                <w:rFonts w:ascii="Georgia" w:hAnsi="Georgia" w:cstheme="minorHAnsi"/>
              </w:rPr>
              <w:t xml:space="preserve">14.852.761</w:t>
            </w:r>
            <w:r>
              <w:rPr>
                <w:rFonts w:ascii="Georgia" w:hAnsi="Georgia" w:cstheme="minorHAnsi"/>
              </w:rPr>
            </w:r>
          </w:p>
        </w:tc>
      </w:tr>
      <w:tr>
        <w:trPr>
          <w:jc w:val="center"/>
        </w:trPr>
        <w:tc>
          <w:tcPr>
            <w:tcBorders/>
            <w:tcW w:w="2831" w:type="dxa"/>
          </w:tcPr>
          <w:p w14:paraId="59500115" w14:textId="77777777">
            <w:pPr>
              <w:pBdr/>
              <w:spacing w:line="360" w:lineRule="auto"/>
              <w:ind/>
              <w:rPr>
                <w:rFonts w:ascii="Georgia" w:hAnsi="Georgia" w:cstheme="minorHAnsi"/>
              </w:rPr>
            </w:pPr>
            <w:r>
              <w:rPr>
                <w:rFonts w:ascii="Georgia" w:hAnsi="Georgia" w:cstheme="minorHAnsi"/>
              </w:rPr>
              <w:t xml:space="preserve">Areado </w:t>
            </w:r>
            <w:r>
              <w:rPr>
                <w:rFonts w:ascii="Georgia" w:hAnsi="Georgia" w:cstheme="minorHAnsi"/>
              </w:rPr>
            </w:r>
          </w:p>
        </w:tc>
        <w:tc>
          <w:tcPr>
            <w:tcBorders/>
            <w:tcW w:w="2831" w:type="dxa"/>
          </w:tcPr>
          <w:p w14:paraId="6D465D24" w14:textId="77777777">
            <w:pPr>
              <w:pBdr/>
              <w:spacing w:line="360" w:lineRule="auto"/>
              <w:ind/>
              <w:rPr>
                <w:rFonts w:ascii="Georgia" w:hAnsi="Georgia" w:cstheme="minorHAnsi"/>
              </w:rPr>
            </w:pPr>
            <w:r>
              <w:rPr>
                <w:rFonts w:ascii="Georgia" w:hAnsi="Georgia" w:cstheme="minorHAnsi"/>
              </w:rPr>
              <w:t xml:space="preserve">Café</w:t>
            </w:r>
            <w:r>
              <w:rPr>
                <w:rFonts w:ascii="Georgia" w:hAnsi="Georgia" w:cstheme="minorHAnsi"/>
              </w:rPr>
            </w:r>
          </w:p>
        </w:tc>
        <w:tc>
          <w:tcPr>
            <w:tcBorders/>
            <w:tcW w:w="2832" w:type="dxa"/>
          </w:tcPr>
          <w:p w14:paraId="3F70181A" w14:textId="77777777">
            <w:pPr>
              <w:pBdr/>
              <w:spacing w:line="360" w:lineRule="auto"/>
              <w:ind/>
              <w:rPr>
                <w:rFonts w:ascii="Georgia" w:hAnsi="Georgia" w:cstheme="minorHAnsi"/>
              </w:rPr>
            </w:pPr>
            <w:r>
              <w:rPr>
                <w:rFonts w:ascii="Georgia" w:hAnsi="Georgia" w:cstheme="minorHAnsi"/>
              </w:rPr>
              <w:t xml:space="preserve">5.773.270</w:t>
            </w:r>
            <w:r>
              <w:rPr>
                <w:rFonts w:ascii="Georgia" w:hAnsi="Georgia" w:cstheme="minorHAnsi"/>
              </w:rPr>
            </w:r>
          </w:p>
        </w:tc>
      </w:tr>
      <w:tr>
        <w:trPr>
          <w:jc w:val="center"/>
        </w:trPr>
        <w:tc>
          <w:tcPr>
            <w:tcBorders/>
            <w:tcW w:w="2831" w:type="dxa"/>
          </w:tcPr>
          <w:p w14:paraId="65647BA3" w14:textId="77777777">
            <w:pPr>
              <w:pBdr/>
              <w:spacing w:line="360" w:lineRule="auto"/>
              <w:ind/>
              <w:rPr>
                <w:rFonts w:ascii="Georgia" w:hAnsi="Georgia" w:cstheme="minorHAnsi"/>
              </w:rPr>
            </w:pPr>
            <w:r>
              <w:rPr>
                <w:rFonts w:ascii="Georgia" w:hAnsi="Georgia" w:cstheme="minorHAnsi"/>
              </w:rPr>
              <w:t xml:space="preserve">Carvalhópolis</w:t>
            </w:r>
            <w:r>
              <w:rPr>
                <w:rFonts w:ascii="Georgia" w:hAnsi="Georgia" w:cstheme="minorHAnsi"/>
              </w:rPr>
            </w:r>
          </w:p>
        </w:tc>
        <w:tc>
          <w:tcPr>
            <w:tcBorders/>
            <w:tcW w:w="2831" w:type="dxa"/>
          </w:tcPr>
          <w:p w14:paraId="5AE810E0" w14:textId="77777777">
            <w:pPr>
              <w:pBdr/>
              <w:spacing w:line="360" w:lineRule="auto"/>
              <w:ind/>
              <w:rPr>
                <w:rFonts w:ascii="Georgia" w:hAnsi="Georgia" w:cstheme="minorHAnsi"/>
              </w:rPr>
            </w:pPr>
            <w:r>
              <w:rPr>
                <w:rFonts w:ascii="Georgia" w:hAnsi="Georgia" w:cstheme="minorHAnsi"/>
              </w:rPr>
              <w:t xml:space="preserve">Ceras </w:t>
            </w:r>
            <w:r>
              <w:rPr>
                <w:rFonts w:ascii="Georgia" w:hAnsi="Georgia" w:cstheme="minorHAnsi"/>
              </w:rPr>
            </w:r>
          </w:p>
        </w:tc>
        <w:tc>
          <w:tcPr>
            <w:tcBorders/>
            <w:tcW w:w="2832" w:type="dxa"/>
          </w:tcPr>
          <w:p w14:paraId="13DC5A76" w14:textId="77777777">
            <w:pPr>
              <w:pBdr/>
              <w:spacing w:line="360" w:lineRule="auto"/>
              <w:ind/>
              <w:rPr>
                <w:rFonts w:ascii="Georgia" w:hAnsi="Georgia" w:cstheme="minorHAnsi"/>
              </w:rPr>
            </w:pPr>
            <w:r>
              <w:rPr>
                <w:rFonts w:ascii="Georgia" w:hAnsi="Georgia" w:cstheme="minorHAnsi"/>
              </w:rPr>
              <w:t xml:space="preserve">316.801</w:t>
            </w:r>
            <w:r>
              <w:rPr>
                <w:rFonts w:ascii="Georgia" w:hAnsi="Georgia" w:cstheme="minorHAnsi"/>
              </w:rPr>
            </w:r>
          </w:p>
        </w:tc>
      </w:tr>
    </w:tbl>
    <w:p w14:paraId="67322276" w14:textId="77777777">
      <w:pPr>
        <w:pBdr/>
        <w:spacing w:after="120" w:line="360" w:lineRule="auto"/>
        <w:ind/>
        <w:jc w:val="center"/>
        <w:rPr>
          <w:rFonts w:ascii="Georgia" w:hAnsi="Georgia" w:cstheme="minorHAnsi"/>
          <w:sz w:val="20"/>
          <w:szCs w:val="20"/>
        </w:rPr>
      </w:pPr>
      <w:r>
        <w:rPr>
          <w:rFonts w:ascii="Georgia" w:hAnsi="Georgia" w:cstheme="minorHAnsi"/>
          <w:sz w:val="20"/>
          <w:szCs w:val="20"/>
        </w:rPr>
        <w:t xml:space="preserve">Fonte: </w:t>
      </w:r>
      <w:hyperlink r:id="rId22" w:tooltip="https://www.gov.br/mdic/pt-br/assuntos/comercio-exterior" w:history="1">
        <w:r>
          <w:rPr>
            <w:rStyle w:val="847"/>
            <w:rFonts w:ascii="Georgia" w:hAnsi="Georgia" w:cstheme="minorHAnsi"/>
            <w:color w:val="auto"/>
            <w:sz w:val="20"/>
            <w:szCs w:val="20"/>
            <w:u w:val="none"/>
          </w:rPr>
          <w:t xml:space="preserve">Secretaria de Comércio Exterior (SECEX)</w:t>
        </w:r>
      </w:hyperlink>
      <w:r>
        <w:rPr>
          <w:rFonts w:ascii="Georgia" w:hAnsi="Georgia" w:cstheme="minorHAnsi"/>
          <w:sz w:val="20"/>
          <w:szCs w:val="20"/>
        </w:rPr>
        <w:t xml:space="preserve">, 2025.</w:t>
      </w:r>
      <w:r>
        <w:rPr>
          <w:rFonts w:ascii="Georgia" w:hAnsi="Georgia" w:cstheme="minorHAnsi"/>
          <w:sz w:val="20"/>
          <w:szCs w:val="20"/>
        </w:rPr>
      </w:r>
    </w:p>
    <w:p w14:paraId="69529878" w14:textId="77777777">
      <w:pPr>
        <w:pBdr/>
        <w:spacing w:after="120" w:line="360" w:lineRule="auto"/>
        <w:ind w:firstLine="700"/>
        <w:jc w:val="both"/>
        <w:rPr>
          <w:rFonts w:ascii="Georgia" w:hAnsi="Georgia" w:cstheme="minorHAnsi"/>
          <w:sz w:val="24"/>
          <w:szCs w:val="24"/>
        </w:rPr>
      </w:pPr>
      <w:r>
        <w:rPr>
          <w:rFonts w:ascii="Georgia" w:hAnsi="Georgia" w:cstheme="minorHAnsi"/>
          <w:sz w:val="24"/>
          <w:szCs w:val="24"/>
        </w:rPr>
        <w:t xml:space="preserve">Além disso, a expansão de </w:t>
      </w:r>
      <w:r>
        <w:rPr>
          <w:rFonts w:ascii="Georgia" w:hAnsi="Georgia" w:cstheme="minorHAnsi"/>
          <w:i/>
          <w:iCs/>
          <w:sz w:val="24"/>
          <w:szCs w:val="24"/>
        </w:rPr>
        <w:t xml:space="preserve">commodities</w:t>
      </w:r>
      <w:r>
        <w:rPr>
          <w:rFonts w:ascii="Georgia" w:hAnsi="Georgia" w:cstheme="minorHAnsi"/>
          <w:sz w:val="24"/>
          <w:szCs w:val="24"/>
        </w:rPr>
        <w:t xml:space="preserve">, como a cana de açúcar e, principalmente, a soja, mais recentemente em alguns desses municípios, tem um alto potencial de alterar as relações de propriedade e de trabalho, em detrimento dos pequenos produtores.</w:t>
      </w:r>
      <w:r>
        <w:rPr>
          <w:rFonts w:ascii="Georgia" w:hAnsi="Georgia" w:cstheme="minorHAnsi"/>
          <w:sz w:val="24"/>
          <w:szCs w:val="24"/>
        </w:rPr>
      </w:r>
    </w:p>
    <w:p w14:paraId="20B026E9" w14:textId="77777777">
      <w:pPr>
        <w:pBdr/>
        <w:spacing w:after="120" w:line="360" w:lineRule="auto"/>
        <w:ind w:firstLine="700"/>
        <w:jc w:val="both"/>
        <w:rPr>
          <w:rFonts w:ascii="Georgia" w:hAnsi="Georgia" w:cstheme="minorHAnsi"/>
          <w:sz w:val="24"/>
          <w:szCs w:val="24"/>
        </w:rPr>
      </w:pPr>
      <w:r>
        <w:rPr>
          <w:rFonts w:ascii="Georgia" w:hAnsi="Georgia" w:cstheme="minorHAnsi"/>
          <w:sz w:val="24"/>
          <w:szCs w:val="24"/>
        </w:rPr>
        <w:t xml:space="preserve">Em um contexto de modernização agrícola, a articulação campo-cidade mais eficiente torna-se fundamental para o crescimento da região, onde as cidades médias tendem a desempenhar a função de articulação entre o local e o glo</w:t>
      </w:r>
      <w:r>
        <w:rPr>
          <w:rFonts w:ascii="Georgia" w:hAnsi="Georgia" w:cstheme="minorHAnsi"/>
          <w:sz w:val="24"/>
          <w:szCs w:val="24"/>
        </w:rPr>
        <w:t xml:space="preserve">bal. Nesse sentido, as cidades médias desempenham a função de fornecer o conhecimento técnico e a informação ao seu entorno rural. A existência de instituições de ensino e pesquisa adquire um peso importante na difusão técnica, de acordo com Santos (2006).</w:t>
      </w:r>
      <w:r>
        <w:rPr>
          <w:rFonts w:ascii="Georgia" w:hAnsi="Georgia" w:cstheme="minorHAnsi"/>
          <w:sz w:val="24"/>
          <w:szCs w:val="24"/>
        </w:rPr>
      </w:r>
    </w:p>
    <w:p w14:paraId="20D18107" w14:textId="2F0FCCCA">
      <w:pPr>
        <w:pBdr/>
        <w:spacing w:after="120" w:line="360" w:lineRule="auto"/>
        <w:ind w:firstLine="700"/>
        <w:jc w:val="both"/>
        <w:rPr>
          <w:rFonts w:ascii="Georgia" w:hAnsi="Georgia" w:cstheme="minorHAnsi"/>
          <w:sz w:val="24"/>
          <w:szCs w:val="24"/>
        </w:rPr>
      </w:pPr>
      <w:r>
        <w:rPr>
          <w:rFonts w:ascii="Georgia" w:hAnsi="Georgia" w:cstheme="minorHAnsi"/>
          <w:sz w:val="24"/>
          <w:szCs w:val="24"/>
        </w:rPr>
        <w:t xml:space="preserve">É nesse aspecto que Benko e </w:t>
      </w:r>
      <w:r>
        <w:rPr>
          <w:rFonts w:ascii="Georgia" w:hAnsi="Georgia" w:cstheme="minorHAnsi"/>
          <w:sz w:val="24"/>
          <w:szCs w:val="24"/>
        </w:rPr>
        <w:t xml:space="preserve">Lipietz</w:t>
      </w:r>
      <w:r>
        <w:rPr>
          <w:rFonts w:ascii="Georgia" w:hAnsi="Georgia" w:cstheme="minorHAnsi"/>
          <w:sz w:val="24"/>
          <w:szCs w:val="24"/>
        </w:rPr>
        <w:t xml:space="preserve"> (1992) afirmam que “as regiões que ganham” são as que concentram a formação de uma população qualificada, mediante universidades e centros de pesquisa</w:t>
      </w:r>
      <w:r>
        <w:rPr>
          <w:rFonts w:ascii="Georgia" w:hAnsi="Georgia" w:cstheme="minorHAnsi"/>
          <w:sz w:val="24"/>
          <w:szCs w:val="24"/>
        </w:rPr>
        <w:t xml:space="preserve">, e</w:t>
      </w:r>
      <w:r>
        <w:rPr>
          <w:rFonts w:ascii="Georgia" w:hAnsi="Georgia" w:cstheme="minorHAnsi"/>
          <w:sz w:val="24"/>
          <w:szCs w:val="24"/>
        </w:rPr>
        <w:t xml:space="preserve"> polos de qualificação de um corpo técnico, onde o conhecimento circula praticamente como uma cultura, diferentemente dos locais </w:t>
      </w:r>
      <w:r>
        <w:rPr>
          <w:rFonts w:ascii="Georgia" w:hAnsi="Georgia" w:cstheme="minorHAnsi"/>
          <w:sz w:val="24"/>
          <w:szCs w:val="24"/>
        </w:rPr>
        <w:t xml:space="preserve">limitados</w:t>
      </w:r>
      <w:r>
        <w:rPr>
          <w:rFonts w:ascii="Georgia" w:hAnsi="Georgia" w:cstheme="minorHAnsi"/>
          <w:sz w:val="24"/>
          <w:szCs w:val="24"/>
        </w:rPr>
        <w:t xml:space="preserve"> a reservatórios de mão de obra.</w:t>
      </w:r>
      <w:r>
        <w:rPr>
          <w:rFonts w:ascii="Georgia" w:hAnsi="Georgia" w:cstheme="minorHAnsi"/>
          <w:sz w:val="24"/>
          <w:szCs w:val="24"/>
        </w:rPr>
      </w:r>
    </w:p>
    <w:p w14:paraId="3E1A6E69" w14:textId="77777777">
      <w:pPr>
        <w:pBdr/>
        <w:spacing w:after="120" w:line="360" w:lineRule="auto"/>
        <w:ind w:firstLine="700"/>
        <w:jc w:val="both"/>
        <w:rPr>
          <w:rFonts w:ascii="Georgia" w:hAnsi="Georgia" w:cstheme="minorHAnsi"/>
          <w:sz w:val="24"/>
          <w:szCs w:val="24"/>
        </w:rPr>
      </w:pPr>
      <w:r>
        <w:rPr>
          <w:rFonts w:ascii="Georgia" w:hAnsi="Georgia" w:cstheme="minorHAnsi"/>
          <w:sz w:val="24"/>
          <w:szCs w:val="24"/>
        </w:rPr>
        <w:t xml:space="preserve">Nesse sentido, o espaço </w:t>
      </w:r>
      <w:r>
        <w:rPr>
          <w:rFonts w:ascii="Georgia" w:hAnsi="Georgia" w:cstheme="minorHAnsi"/>
          <w:sz w:val="24"/>
          <w:szCs w:val="24"/>
        </w:rPr>
        <w:t xml:space="preserve">intra-urbano</w:t>
      </w:r>
      <w:r>
        <w:rPr>
          <w:rFonts w:ascii="Georgia" w:hAnsi="Georgia" w:cstheme="minorHAnsi"/>
          <w:sz w:val="24"/>
          <w:szCs w:val="24"/>
        </w:rPr>
        <w:t xml:space="preserve"> também passa por um rearranjo em sua infraestrutura para abrigar novas formas de produção, de uso e ocupação do solo, expressando uma complexidade maior em termos de atividades e </w:t>
      </w:r>
      <w:r>
        <w:rPr>
          <w:rFonts w:ascii="Georgia" w:hAnsi="Georgia" w:cstheme="minorHAnsi"/>
          <w:sz w:val="24"/>
          <w:szCs w:val="24"/>
        </w:rPr>
        <w:t xml:space="preserve">estratificação social. O resultado é a efetivação de novas formas de segregação socioespacial, dispersão da malha urbana e constituição de novas centralidades.</w:t>
      </w:r>
      <w:r>
        <w:rPr>
          <w:rFonts w:ascii="Georgia" w:hAnsi="Georgia" w:cstheme="minorHAnsi"/>
          <w:sz w:val="24"/>
          <w:szCs w:val="24"/>
        </w:rPr>
      </w:r>
    </w:p>
    <w:p w14:paraId="204FAEDB" w14:textId="7759D6E3">
      <w:pPr>
        <w:pBdr/>
        <w:spacing w:after="120" w:line="360" w:lineRule="auto"/>
        <w:ind/>
        <w:jc w:val="both"/>
        <w:rPr>
          <w:rFonts w:ascii="Georgia" w:hAnsi="Georgia" w:cstheme="minorHAnsi"/>
          <w:sz w:val="24"/>
          <w:szCs w:val="24"/>
        </w:rPr>
      </w:pPr>
      <w:r>
        <w:rPr>
          <w:rFonts w:ascii="Georgia" w:hAnsi="Georgia" w:cstheme="minorHAnsi"/>
          <w:sz w:val="24"/>
          <w:szCs w:val="24"/>
        </w:rPr>
        <w:t xml:space="preserve">      </w:t>
      </w:r>
      <w:r>
        <w:rPr>
          <w:rFonts w:ascii="Georgia" w:hAnsi="Georgia" w:cstheme="minorHAnsi"/>
          <w:sz w:val="24"/>
          <w:szCs w:val="24"/>
        </w:rPr>
        <w:tab/>
        <w:t xml:space="preserve"> </w:t>
      </w:r>
      <w:r>
        <w:rPr>
          <w:rFonts w:ascii="Georgia" w:hAnsi="Georgia" w:cstheme="minorHAnsi"/>
          <w:sz w:val="24"/>
          <w:szCs w:val="24"/>
        </w:rPr>
      </w:r>
    </w:p>
    <w:p w14:paraId="2BF3BBB6" w14:textId="77777777">
      <w:pPr>
        <w:pBdr/>
        <w:spacing w:after="120" w:line="360" w:lineRule="auto"/>
        <w:ind/>
        <w:jc w:val="both"/>
        <w:rPr>
          <w:rFonts w:ascii="Georgia" w:hAnsi="Georgia" w:cstheme="minorHAnsi"/>
          <w:b/>
          <w:sz w:val="24"/>
          <w:szCs w:val="24"/>
        </w:rPr>
      </w:pPr>
      <w:r>
        <w:rPr>
          <w:rFonts w:ascii="Georgia" w:hAnsi="Georgia" w:cstheme="minorHAnsi"/>
          <w:b/>
          <w:sz w:val="24"/>
          <w:szCs w:val="24"/>
        </w:rPr>
        <w:t xml:space="preserve">Considerações finais</w:t>
      </w:r>
      <w:r>
        <w:rPr>
          <w:rFonts w:ascii="Georgia" w:hAnsi="Georgia" w:cstheme="minorHAnsi"/>
          <w:b/>
          <w:sz w:val="24"/>
          <w:szCs w:val="24"/>
        </w:rPr>
      </w:r>
    </w:p>
    <w:p w14:paraId="4074F8C7" w14:textId="77C24071">
      <w:pPr>
        <w:pBdr/>
        <w:spacing w:after="120" w:line="360" w:lineRule="auto"/>
        <w:ind w:firstLine="700"/>
        <w:jc w:val="both"/>
        <w:rPr>
          <w:rFonts w:ascii="Georgia" w:hAnsi="Georgia" w:cstheme="minorHAnsi"/>
          <w:sz w:val="24"/>
          <w:szCs w:val="24"/>
        </w:rPr>
      </w:pPr>
      <w:r>
        <w:rPr>
          <w:rFonts w:ascii="Georgia" w:hAnsi="Georgia" w:cstheme="minorHAnsi"/>
          <w:sz w:val="24"/>
          <w:szCs w:val="24"/>
        </w:rPr>
        <w:t xml:space="preserve">Muito mais do </w:t>
      </w:r>
      <w:r>
        <w:rPr>
          <w:rFonts w:ascii="Georgia" w:hAnsi="Georgia" w:cstheme="minorHAnsi"/>
          <w:sz w:val="24"/>
          <w:szCs w:val="24"/>
        </w:rPr>
        <w:t xml:space="preserve">que diferenças quantitativas, as cidades pequenas e médias apresentam especificidades que foram se constituindo ao longo do tempo. Nesse sentido, Alfenas foi se especializando desde as primeiras décadas do século XX na estruturação de uma rede de serviços,</w:t>
      </w:r>
      <w:r>
        <w:rPr>
          <w:rFonts w:ascii="Georgia" w:hAnsi="Georgia" w:cstheme="minorHAnsi"/>
          <w:sz w:val="24"/>
          <w:szCs w:val="24"/>
        </w:rPr>
        <w:t xml:space="preserve"> que as cidades menores não tinham condições de desenvolver, assim como uma maior capacidade de absorver a renda gerada no campo. A crescente articulação da região imediata também aponta para a ampliação da divisão territorial do trabalho e da complexidade</w:t>
      </w:r>
      <w:bookmarkStart w:id="1" w:name="_Hlk206849446"/>
      <w:r>
        <w:rPr>
          <w:rFonts w:ascii="Georgia" w:hAnsi="Georgia" w:cstheme="minorHAnsi"/>
          <w:sz w:val="24"/>
          <w:szCs w:val="24"/>
        </w:rPr>
        <w:t xml:space="preserve"> interurbana</w:t>
      </w:r>
      <w:bookmarkEnd w:id="1"/>
      <w:r>
        <w:rPr>
          <w:rFonts w:ascii="Georgia" w:hAnsi="Georgia" w:cstheme="minorHAnsi"/>
          <w:sz w:val="24"/>
          <w:szCs w:val="24"/>
        </w:rPr>
      </w:r>
    </w:p>
    <w:p w14:paraId="6278C4F4" w14:textId="6DB7C233">
      <w:pPr>
        <w:pBdr/>
        <w:spacing w:after="120" w:line="360" w:lineRule="auto"/>
        <w:ind w:firstLine="700"/>
        <w:jc w:val="both"/>
        <w:rPr>
          <w:rFonts w:ascii="Georgia" w:hAnsi="Georgia" w:cstheme="minorHAnsi"/>
          <w:sz w:val="24"/>
          <w:szCs w:val="24"/>
        </w:rPr>
      </w:pPr>
      <w:r>
        <w:rPr>
          <w:rFonts w:ascii="Georgia" w:hAnsi="Georgia" w:cstheme="minorHAnsi"/>
          <w:sz w:val="24"/>
          <w:szCs w:val="24"/>
        </w:rPr>
        <w:t xml:space="preserve">Embora a região seja historicamente produtora agrícola com destaque para o cultivo de café que, junto à ferrovia, impulsionou a estruturação da rede urbana no Sul de Minas, a m</w:t>
      </w:r>
      <w:r>
        <w:rPr>
          <w:rFonts w:ascii="Georgia" w:hAnsi="Georgia" w:cstheme="minorHAnsi"/>
          <w:sz w:val="24"/>
          <w:szCs w:val="24"/>
        </w:rPr>
        <w:t xml:space="preserve">oderni</w:t>
      </w:r>
      <w:r>
        <w:rPr>
          <w:rFonts w:ascii="Georgia" w:hAnsi="Georgia" w:cstheme="minorHAnsi"/>
          <w:sz w:val="24"/>
          <w:szCs w:val="24"/>
        </w:rPr>
        <w:t xml:space="preserve">zação </w:t>
      </w:r>
      <w:r>
        <w:rPr>
          <w:rFonts w:ascii="Georgia" w:hAnsi="Georgia" w:cstheme="minorHAnsi"/>
          <w:sz w:val="24"/>
          <w:szCs w:val="24"/>
        </w:rPr>
        <w:t xml:space="preserve">das técnicas </w:t>
      </w:r>
      <w:r>
        <w:rPr>
          <w:rFonts w:ascii="Georgia" w:hAnsi="Georgia" w:cstheme="minorHAnsi"/>
          <w:sz w:val="24"/>
          <w:szCs w:val="24"/>
        </w:rPr>
        <w:t xml:space="preserve">deste cultivo a partir da década de 1970, implicou no</w:t>
      </w:r>
      <w:r>
        <w:rPr>
          <w:rFonts w:ascii="Georgia" w:hAnsi="Georgia" w:cstheme="minorHAnsi"/>
          <w:sz w:val="24"/>
          <w:szCs w:val="24"/>
        </w:rPr>
        <w:t xml:space="preserve"> êxodo rural e na urbanização, especialmente de Alfenas. Também a partir desse período, o avanço da industrialização e das vias de comunicação, articulando mais a rede urbana, tem levado à reestruturação produtiva, com o desenvolvimento de especializações.</w:t>
      </w:r>
      <w:r>
        <w:rPr>
          <w:rFonts w:ascii="Georgia" w:hAnsi="Georgia" w:cstheme="minorHAnsi"/>
          <w:sz w:val="24"/>
          <w:szCs w:val="24"/>
        </w:rPr>
      </w:r>
    </w:p>
    <w:p w14:paraId="0BD8325F" w14:textId="2F25A14D">
      <w:pPr>
        <w:pBdr/>
        <w:spacing w:after="120" w:line="360" w:lineRule="auto"/>
        <w:ind w:firstLine="700"/>
        <w:jc w:val="both"/>
        <w:rPr>
          <w:rFonts w:ascii="Georgia" w:hAnsi="Georgia" w:cstheme="minorHAnsi"/>
          <w:sz w:val="24"/>
          <w:szCs w:val="24"/>
        </w:rPr>
      </w:pPr>
      <w:r/>
      <w:bookmarkStart w:id="2" w:name="_Hlk206849531"/>
      <w:r>
        <w:rPr>
          <w:rFonts w:ascii="Georgia" w:hAnsi="Georgia" w:cstheme="minorHAnsi"/>
          <w:sz w:val="24"/>
          <w:szCs w:val="24"/>
        </w:rPr>
        <w:t xml:space="preserve">Comum às cidades deste porte, Alfenas foi se especializando nos serviços médico-hospitalar</w:t>
      </w:r>
      <w:r>
        <w:rPr>
          <w:rFonts w:ascii="Georgia" w:hAnsi="Georgia" w:cstheme="minorHAnsi"/>
          <w:sz w:val="24"/>
          <w:szCs w:val="24"/>
        </w:rPr>
        <w:t xml:space="preserve">es</w:t>
      </w:r>
      <w:r>
        <w:rPr>
          <w:rFonts w:ascii="Georgia" w:hAnsi="Georgia" w:cstheme="minorHAnsi"/>
          <w:sz w:val="24"/>
          <w:szCs w:val="24"/>
        </w:rPr>
        <w:t xml:space="preserve"> e educação superior, com a ampliação do número de hospitais</w:t>
      </w:r>
      <w:r>
        <w:rPr>
          <w:rFonts w:ascii="Georgia" w:hAnsi="Georgia" w:cstheme="minorHAnsi"/>
          <w:sz w:val="24"/>
          <w:szCs w:val="24"/>
        </w:rPr>
        <w:t xml:space="preserve">, </w:t>
      </w:r>
      <w:r>
        <w:rPr>
          <w:rFonts w:ascii="Georgia" w:hAnsi="Georgia" w:cstheme="minorHAnsi"/>
          <w:sz w:val="24"/>
          <w:szCs w:val="24"/>
        </w:rPr>
        <w:t xml:space="preserve">clínicas</w:t>
      </w:r>
      <w:r>
        <w:rPr>
          <w:rFonts w:ascii="Georgia" w:hAnsi="Georgia" w:cstheme="minorHAnsi"/>
          <w:sz w:val="24"/>
          <w:szCs w:val="24"/>
        </w:rPr>
        <w:t xml:space="preserve"> e laboratórios</w:t>
      </w:r>
      <w:r>
        <w:rPr>
          <w:rFonts w:ascii="Georgia" w:hAnsi="Georgia" w:cstheme="minorHAnsi"/>
          <w:sz w:val="24"/>
          <w:szCs w:val="24"/>
        </w:rPr>
        <w:t xml:space="preserve">, assim como de unidades de ensino superior e maior diversidade de cursos. A crescente articulação da região imediata também aponta para o crescimento das </w:t>
      </w:r>
      <w:bookmarkEnd w:id="2"/>
      <w:r>
        <w:rPr>
          <w:rFonts w:ascii="Georgia" w:hAnsi="Georgia" w:cstheme="minorHAnsi"/>
          <w:sz w:val="24"/>
          <w:szCs w:val="24"/>
        </w:rPr>
        <w:t xml:space="preserve">especializações, como o turismo, os têxteis, as confecções e a alimentícia. E, no campo, a </w:t>
      </w:r>
      <w:r>
        <w:rPr>
          <w:rFonts w:ascii="Georgia" w:hAnsi="Georgia" w:cstheme="minorHAnsi"/>
          <w:i/>
          <w:iCs/>
          <w:sz w:val="24"/>
          <w:szCs w:val="24"/>
        </w:rPr>
        <w:t xml:space="preserve">comoditização</w:t>
      </w:r>
      <w:r>
        <w:rPr>
          <w:rFonts w:ascii="Georgia" w:hAnsi="Georgia" w:cstheme="minorHAnsi"/>
          <w:sz w:val="24"/>
          <w:szCs w:val="24"/>
        </w:rPr>
        <w:t xml:space="preserve">, como o café, a cana de açúcar e a soja, com implicações nas interações rural-urbanas e interurbanas.</w:t>
      </w:r>
      <w:r>
        <w:rPr>
          <w:rFonts w:ascii="Georgia" w:hAnsi="Georgia" w:cstheme="minorHAnsi"/>
          <w:sz w:val="24"/>
          <w:szCs w:val="24"/>
        </w:rPr>
      </w:r>
    </w:p>
    <w:p w14:paraId="00111280" w14:textId="240BC455">
      <w:pPr>
        <w:pBdr/>
        <w:spacing w:after="120" w:line="360" w:lineRule="auto"/>
        <w:ind w:firstLine="700"/>
        <w:jc w:val="both"/>
        <w:rPr>
          <w:rFonts w:ascii="Georgia" w:hAnsi="Georgia" w:cstheme="minorHAnsi"/>
          <w:sz w:val="24"/>
          <w:szCs w:val="24"/>
        </w:rPr>
      </w:pPr>
      <w:r>
        <w:rPr>
          <w:rFonts w:ascii="Georgia" w:hAnsi="Georgia" w:cstheme="minorHAnsi"/>
          <w:sz w:val="24"/>
          <w:szCs w:val="24"/>
        </w:rPr>
        <w:t xml:space="preserve">A capacidade de absorver a mão de obra mais qualificada formada nas universidades, com maiores oportunidades em Alfenas do que nos demais municípios vizinhos, embora uma parte retorne aos seus locais de origem, configura uma diferença qualitativa </w:t>
      </w:r>
      <w:r>
        <w:rPr>
          <w:rFonts w:ascii="Georgia" w:hAnsi="Georgia" w:cstheme="minorHAnsi"/>
          <w:sz w:val="24"/>
          <w:szCs w:val="24"/>
        </w:rPr>
        <w:t xml:space="preserve">essencial </w:t>
      </w:r>
      <w:r>
        <w:rPr>
          <w:rFonts w:ascii="Georgia" w:hAnsi="Georgia" w:cstheme="minorHAnsi"/>
          <w:sz w:val="24"/>
          <w:szCs w:val="24"/>
        </w:rPr>
        <w:t xml:space="preserve">entre esses centros e reforça a polarização de Alfenas.</w:t>
      </w:r>
      <w:r>
        <w:rPr>
          <w:rFonts w:ascii="Georgia" w:hAnsi="Georgia" w:cstheme="minorHAnsi"/>
          <w:sz w:val="24"/>
          <w:szCs w:val="24"/>
        </w:rPr>
      </w:r>
    </w:p>
    <w:p w14:paraId="29FF5D84" w14:textId="77777777">
      <w:pPr>
        <w:pBdr/>
        <w:spacing w:after="120" w:line="360" w:lineRule="auto"/>
        <w:ind w:firstLine="700"/>
        <w:jc w:val="both"/>
        <w:rPr>
          <w:rFonts w:ascii="Georgia" w:hAnsi="Georgia" w:cstheme="minorHAnsi"/>
          <w:sz w:val="24"/>
          <w:szCs w:val="24"/>
        </w:rPr>
      </w:pPr>
      <w:r>
        <w:rPr>
          <w:rFonts w:ascii="Georgia" w:hAnsi="Georgia" w:cstheme="minorHAnsi"/>
          <w:sz w:val="24"/>
          <w:szCs w:val="24"/>
        </w:rPr>
        <w:t xml:space="preserve">O setor de serviços é aquele que possui maior poder de polarização, comparativamente à indústria e ao agrícola, pois a maior parte dos serviços </w:t>
      </w:r>
      <w:r>
        <w:rPr>
          <w:rFonts w:ascii="Georgia" w:hAnsi="Georgia" w:cstheme="minorHAnsi"/>
          <w:sz w:val="24"/>
          <w:szCs w:val="24"/>
        </w:rPr>
        <w:t xml:space="preserve">constituem expedientes que devem ser consumidos em ato. Em quase todas as cidad</w:t>
      </w:r>
      <w:r>
        <w:rPr>
          <w:rFonts w:ascii="Georgia" w:hAnsi="Georgia" w:cstheme="minorHAnsi"/>
          <w:sz w:val="24"/>
          <w:szCs w:val="24"/>
        </w:rPr>
        <w:t xml:space="preserve">es, a maior parcela do PIB e da PEA encontra-se nos serviços.  Evidentemente, isso não exclui as conexões com os demais setores; o segmento da construção civil é um bom indicador, pois tem o potencial de movimentar toda uma cadeia de atividades terciárias.</w:t>
      </w:r>
      <w:r>
        <w:rPr>
          <w:rFonts w:ascii="Georgia" w:hAnsi="Georgia" w:cstheme="minorHAnsi"/>
          <w:sz w:val="24"/>
          <w:szCs w:val="24"/>
        </w:rPr>
      </w:r>
    </w:p>
    <w:p w14:paraId="44B36074" w14:textId="160899ED">
      <w:pPr>
        <w:pBdr/>
        <w:spacing w:after="120" w:line="360" w:lineRule="auto"/>
        <w:ind w:firstLine="700"/>
        <w:jc w:val="both"/>
        <w:rPr>
          <w:rFonts w:ascii="Georgia" w:hAnsi="Georgia" w:cstheme="minorHAnsi"/>
          <w:sz w:val="24"/>
          <w:szCs w:val="24"/>
        </w:rPr>
      </w:pPr>
      <w:r>
        <w:rPr>
          <w:rFonts w:ascii="Georgia" w:hAnsi="Georgia" w:cstheme="minorHAnsi"/>
          <w:sz w:val="24"/>
          <w:szCs w:val="24"/>
        </w:rPr>
        <w:t xml:space="preserve">Finalmente, é importante salientar que as desigualdades no espaço intraurbano de Alfenas também tendem a aumentar à medida que a ec</w:t>
      </w:r>
      <w:r>
        <w:rPr>
          <w:rFonts w:ascii="Georgia" w:hAnsi="Georgia" w:cstheme="minorHAnsi"/>
          <w:sz w:val="24"/>
          <w:szCs w:val="24"/>
        </w:rPr>
        <w:t xml:space="preserve">onomia cresce e se complexifica. Nas últimas duas décadas, pode-se destacar a implementação de novos loteamentos, uma parte deles, na instalação de residenciais fechados de alto padrão, articulados também a uma maior financeirização do mercado imobiliário.</w:t>
      </w:r>
      <w:r>
        <w:rPr>
          <w:rFonts w:ascii="Georgia" w:hAnsi="Georgia" w:cstheme="minorHAnsi"/>
          <w:sz w:val="24"/>
          <w:szCs w:val="24"/>
        </w:rPr>
      </w:r>
    </w:p>
    <w:p w14:paraId="61B5AB56" w14:textId="77777777">
      <w:pPr>
        <w:pBdr/>
        <w:spacing w:after="120" w:line="360" w:lineRule="auto"/>
        <w:ind w:firstLine="700"/>
        <w:jc w:val="both"/>
        <w:rPr>
          <w:rFonts w:ascii="Georgia" w:hAnsi="Georgia" w:cstheme="minorHAnsi"/>
          <w:sz w:val="24"/>
          <w:szCs w:val="24"/>
        </w:rPr>
      </w:pPr>
      <w:r>
        <w:rPr>
          <w:rFonts w:ascii="Georgia" w:hAnsi="Georgia" w:cstheme="minorHAnsi"/>
          <w:sz w:val="24"/>
          <w:szCs w:val="24"/>
        </w:rPr>
      </w:r>
      <w:r>
        <w:rPr>
          <w:rFonts w:ascii="Georgia" w:hAnsi="Georgia" w:cstheme="minorHAnsi"/>
          <w:sz w:val="24"/>
          <w:szCs w:val="24"/>
        </w:rPr>
      </w:r>
    </w:p>
    <w:p w14:paraId="30881EE7" w14:textId="77777777">
      <w:pPr>
        <w:pBdr/>
        <w:spacing w:after="120" w:line="240" w:lineRule="auto"/>
        <w:ind/>
        <w:jc w:val="both"/>
        <w:rPr>
          <w:rFonts w:ascii="Georgia" w:hAnsi="Georgia" w:cstheme="minorHAnsi"/>
          <w:b/>
          <w:sz w:val="24"/>
          <w:szCs w:val="24"/>
        </w:rPr>
      </w:pPr>
      <w:r>
        <w:rPr>
          <w:rFonts w:ascii="Georgia" w:hAnsi="Georgia" w:cstheme="minorHAnsi"/>
          <w:b/>
          <w:sz w:val="24"/>
          <w:szCs w:val="24"/>
        </w:rPr>
        <w:t xml:space="preserve">Referências </w:t>
      </w:r>
      <w:r>
        <w:rPr>
          <w:rFonts w:ascii="Georgia" w:hAnsi="Georgia" w:cstheme="minorHAnsi"/>
          <w:b/>
          <w:sz w:val="24"/>
          <w:szCs w:val="24"/>
        </w:rPr>
      </w:r>
    </w:p>
    <w:p w14:paraId="711658CF" w14:textId="77777777">
      <w:pPr>
        <w:pBdr/>
        <w:spacing w:after="120" w:line="240" w:lineRule="auto"/>
        <w:ind/>
        <w:jc w:val="both"/>
        <w:rPr>
          <w:rFonts w:ascii="Georgia" w:hAnsi="Georgia" w:cstheme="minorHAnsi"/>
          <w:sz w:val="24"/>
          <w:szCs w:val="24"/>
        </w:rPr>
      </w:pPr>
      <w:r>
        <w:rPr>
          <w:rFonts w:ascii="Georgia" w:hAnsi="Georgia" w:cstheme="minorHAnsi"/>
          <w:sz w:val="24"/>
          <w:szCs w:val="24"/>
        </w:rPr>
        <w:t xml:space="preserve">AMORIM FILHO, O. B.; SENA FILHO, N. S. </w:t>
      </w:r>
      <w:r>
        <w:rPr>
          <w:rFonts w:ascii="Georgia" w:hAnsi="Georgia" w:cstheme="minorHAnsi"/>
          <w:b/>
          <w:bCs/>
          <w:sz w:val="24"/>
          <w:szCs w:val="24"/>
        </w:rPr>
        <w:t xml:space="preserve">A morfologia das cidades médias</w:t>
      </w:r>
      <w:r>
        <w:rPr>
          <w:rFonts w:ascii="Georgia" w:hAnsi="Georgia" w:cstheme="minorHAnsi"/>
          <w:sz w:val="24"/>
          <w:szCs w:val="24"/>
        </w:rPr>
        <w:t xml:space="preserve">. Goiânia: Ed. Vieira, 2007.</w:t>
      </w:r>
      <w:r>
        <w:rPr>
          <w:rFonts w:ascii="Georgia" w:hAnsi="Georgia" w:cstheme="minorHAnsi"/>
          <w:sz w:val="24"/>
          <w:szCs w:val="24"/>
        </w:rPr>
      </w:r>
    </w:p>
    <w:p w14:paraId="0159F5B0" w14:textId="77777777">
      <w:pPr>
        <w:pBdr/>
        <w:spacing w:after="120" w:line="240" w:lineRule="auto"/>
        <w:ind/>
        <w:jc w:val="both"/>
        <w:rPr>
          <w:rFonts w:ascii="Georgia" w:hAnsi="Georgia" w:cstheme="minorHAnsi"/>
          <w:sz w:val="24"/>
          <w:szCs w:val="24"/>
        </w:rPr>
      </w:pPr>
      <w:r>
        <w:rPr>
          <w:rFonts w:ascii="Georgia" w:hAnsi="Georgia" w:cstheme="minorHAnsi"/>
          <w:sz w:val="24"/>
          <w:szCs w:val="24"/>
        </w:rPr>
        <w:t xml:space="preserve">BENKO, Georges; LIPIETZ, Alain. </w:t>
      </w:r>
      <w:r>
        <w:rPr>
          <w:rFonts w:ascii="Georgia" w:hAnsi="Georgia" w:cstheme="minorHAnsi"/>
          <w:b/>
          <w:bCs/>
          <w:sz w:val="24"/>
          <w:szCs w:val="24"/>
        </w:rPr>
        <w:t xml:space="preserve">Les</w:t>
      </w:r>
      <w:r>
        <w:rPr>
          <w:rFonts w:ascii="Georgia" w:hAnsi="Georgia" w:cstheme="minorHAnsi"/>
          <w:b/>
          <w:bCs/>
          <w:sz w:val="24"/>
          <w:szCs w:val="24"/>
        </w:rPr>
        <w:t xml:space="preserve"> </w:t>
      </w:r>
      <w:r>
        <w:rPr>
          <w:rFonts w:ascii="Georgia" w:hAnsi="Georgia" w:cstheme="minorHAnsi"/>
          <w:b/>
          <w:bCs/>
          <w:sz w:val="24"/>
          <w:szCs w:val="24"/>
        </w:rPr>
        <w:t xml:space="preserve">régions</w:t>
      </w:r>
      <w:r>
        <w:rPr>
          <w:rFonts w:ascii="Georgia" w:hAnsi="Georgia" w:cstheme="minorHAnsi"/>
          <w:b/>
          <w:bCs/>
          <w:sz w:val="24"/>
          <w:szCs w:val="24"/>
        </w:rPr>
        <w:t xml:space="preserve"> </w:t>
      </w:r>
      <w:r>
        <w:rPr>
          <w:rFonts w:ascii="Georgia" w:hAnsi="Georgia" w:cstheme="minorHAnsi"/>
          <w:b/>
          <w:bCs/>
          <w:sz w:val="24"/>
          <w:szCs w:val="24"/>
        </w:rPr>
        <w:t xml:space="preserve">qui</w:t>
      </w:r>
      <w:r>
        <w:rPr>
          <w:rFonts w:ascii="Georgia" w:hAnsi="Georgia" w:cstheme="minorHAnsi"/>
          <w:b/>
          <w:bCs/>
          <w:sz w:val="24"/>
          <w:szCs w:val="24"/>
        </w:rPr>
        <w:t xml:space="preserve"> </w:t>
      </w:r>
      <w:r>
        <w:rPr>
          <w:rFonts w:ascii="Georgia" w:hAnsi="Georgia" w:cstheme="minorHAnsi"/>
          <w:b/>
          <w:bCs/>
          <w:sz w:val="24"/>
          <w:szCs w:val="24"/>
        </w:rPr>
        <w:t xml:space="preserve">gagnent</w:t>
      </w:r>
      <w:r>
        <w:rPr>
          <w:rFonts w:ascii="Georgia" w:hAnsi="Georgia" w:cstheme="minorHAnsi"/>
          <w:sz w:val="24"/>
          <w:szCs w:val="24"/>
        </w:rPr>
        <w:t xml:space="preserve">: </w:t>
      </w:r>
      <w:r>
        <w:rPr>
          <w:rFonts w:ascii="Georgia" w:hAnsi="Georgia" w:cstheme="minorHAnsi"/>
          <w:sz w:val="24"/>
          <w:szCs w:val="24"/>
        </w:rPr>
        <w:t xml:space="preserve">districts</w:t>
      </w:r>
      <w:r>
        <w:rPr>
          <w:rFonts w:ascii="Georgia" w:hAnsi="Georgia" w:cstheme="minorHAnsi"/>
          <w:sz w:val="24"/>
          <w:szCs w:val="24"/>
        </w:rPr>
        <w:t xml:space="preserve"> et </w:t>
      </w:r>
      <w:r>
        <w:rPr>
          <w:rFonts w:ascii="Georgia" w:hAnsi="Georgia" w:cstheme="minorHAnsi"/>
          <w:sz w:val="24"/>
          <w:szCs w:val="24"/>
        </w:rPr>
        <w:t xml:space="preserve">réseaux</w:t>
      </w:r>
      <w:r>
        <w:rPr>
          <w:rFonts w:ascii="Georgia" w:hAnsi="Georgia" w:cstheme="minorHAnsi"/>
          <w:sz w:val="24"/>
          <w:szCs w:val="24"/>
        </w:rPr>
        <w:t xml:space="preserve"> </w:t>
      </w:r>
      <w:r>
        <w:rPr>
          <w:rFonts w:ascii="Georgia" w:hAnsi="Georgia" w:cstheme="minorHAnsi"/>
          <w:sz w:val="24"/>
          <w:szCs w:val="24"/>
        </w:rPr>
        <w:t xml:space="preserve">paradigmes</w:t>
      </w:r>
      <w:r>
        <w:rPr>
          <w:rFonts w:ascii="Georgia" w:hAnsi="Georgia" w:cstheme="minorHAnsi"/>
          <w:sz w:val="24"/>
          <w:szCs w:val="24"/>
        </w:rPr>
        <w:t xml:space="preserve"> de </w:t>
      </w:r>
      <w:r>
        <w:rPr>
          <w:rFonts w:ascii="Georgia" w:hAnsi="Georgia" w:cstheme="minorHAnsi"/>
          <w:sz w:val="24"/>
          <w:szCs w:val="24"/>
        </w:rPr>
        <w:t xml:space="preserve">la</w:t>
      </w:r>
      <w:r>
        <w:rPr>
          <w:rFonts w:ascii="Georgia" w:hAnsi="Georgia" w:cstheme="minorHAnsi"/>
          <w:sz w:val="24"/>
          <w:szCs w:val="24"/>
        </w:rPr>
        <w:t xml:space="preserve"> </w:t>
      </w:r>
      <w:r>
        <w:rPr>
          <w:rFonts w:ascii="Georgia" w:hAnsi="Georgia" w:cstheme="minorHAnsi"/>
          <w:sz w:val="24"/>
          <w:szCs w:val="24"/>
        </w:rPr>
        <w:t xml:space="preserve">géographie</w:t>
      </w:r>
      <w:r>
        <w:rPr>
          <w:rFonts w:ascii="Georgia" w:hAnsi="Georgia" w:cstheme="minorHAnsi"/>
          <w:sz w:val="24"/>
          <w:szCs w:val="24"/>
        </w:rPr>
        <w:t xml:space="preserve"> </w:t>
      </w:r>
      <w:r>
        <w:rPr>
          <w:rFonts w:ascii="Georgia" w:hAnsi="Georgia" w:cstheme="minorHAnsi"/>
          <w:sz w:val="24"/>
          <w:szCs w:val="24"/>
        </w:rPr>
        <w:t xml:space="preserve">économique</w:t>
      </w:r>
      <w:r>
        <w:rPr>
          <w:rFonts w:ascii="Georgia" w:hAnsi="Georgia" w:cstheme="minorHAnsi"/>
          <w:sz w:val="24"/>
          <w:szCs w:val="24"/>
        </w:rPr>
        <w:t xml:space="preserve">. Paris: PUF, 1992.</w:t>
      </w:r>
      <w:r>
        <w:rPr>
          <w:rFonts w:ascii="Georgia" w:hAnsi="Georgia" w:cstheme="minorHAnsi"/>
          <w:sz w:val="24"/>
          <w:szCs w:val="24"/>
        </w:rPr>
      </w:r>
    </w:p>
    <w:p w14:paraId="73331768" w14:textId="77777777">
      <w:pPr>
        <w:pBdr/>
        <w:spacing w:after="120" w:line="240" w:lineRule="auto"/>
        <w:ind/>
        <w:jc w:val="both"/>
        <w:rPr>
          <w:rFonts w:ascii="Georgia" w:hAnsi="Georgia" w:cstheme="minorHAnsi"/>
          <w:sz w:val="24"/>
          <w:szCs w:val="24"/>
        </w:rPr>
      </w:pPr>
      <w:r>
        <w:rPr>
          <w:rFonts w:ascii="Georgia" w:hAnsi="Georgia" w:cstheme="minorHAnsi"/>
          <w:sz w:val="24"/>
          <w:szCs w:val="24"/>
        </w:rPr>
        <w:t xml:space="preserve">CORRÊA, R. L. As pequenas cidades na confluência do urbano e do rural. São Paulo: </w:t>
      </w:r>
      <w:r>
        <w:rPr>
          <w:rFonts w:ascii="Georgia" w:hAnsi="Georgia" w:cstheme="minorHAnsi"/>
          <w:b/>
          <w:bCs/>
          <w:sz w:val="24"/>
          <w:szCs w:val="24"/>
        </w:rPr>
        <w:t xml:space="preserve">GEOUSP, Espaço e Tempo</w:t>
      </w:r>
      <w:r>
        <w:rPr>
          <w:rFonts w:ascii="Georgia" w:hAnsi="Georgia" w:cstheme="minorHAnsi"/>
          <w:sz w:val="24"/>
          <w:szCs w:val="24"/>
        </w:rPr>
        <w:t xml:space="preserve">, n. 30, 2011, p. 05-12.</w:t>
      </w:r>
      <w:r>
        <w:rPr>
          <w:rFonts w:ascii="Georgia" w:hAnsi="Georgia" w:cstheme="minorHAnsi"/>
          <w:sz w:val="24"/>
          <w:szCs w:val="24"/>
        </w:rPr>
      </w:r>
    </w:p>
    <w:p w14:paraId="0A15F303" w14:textId="77777777">
      <w:pPr>
        <w:pBdr/>
        <w:spacing w:after="120" w:line="240" w:lineRule="auto"/>
        <w:ind/>
        <w:jc w:val="both"/>
        <w:rPr>
          <w:rFonts w:ascii="Georgia" w:hAnsi="Georgia" w:cstheme="minorHAnsi"/>
          <w:sz w:val="24"/>
          <w:szCs w:val="24"/>
        </w:rPr>
      </w:pPr>
      <w:r>
        <w:rPr>
          <w:rFonts w:ascii="Georgia" w:hAnsi="Georgia" w:cstheme="minorHAnsi"/>
          <w:sz w:val="24"/>
          <w:szCs w:val="24"/>
        </w:rPr>
        <w:t xml:space="preserve"> CORRÊA, R. L. Construindo o conceito de cidade média. In: SPOSITO, M. Encarnação B. (org.) </w:t>
      </w:r>
      <w:r>
        <w:rPr>
          <w:rFonts w:ascii="Georgia" w:hAnsi="Georgia" w:cstheme="minorHAnsi"/>
          <w:b/>
          <w:bCs/>
          <w:sz w:val="24"/>
          <w:szCs w:val="24"/>
        </w:rPr>
        <w:t xml:space="preserve">Cidades médias</w:t>
      </w:r>
      <w:r>
        <w:rPr>
          <w:rFonts w:ascii="Georgia" w:hAnsi="Georgia" w:cstheme="minorHAnsi"/>
          <w:sz w:val="24"/>
          <w:szCs w:val="24"/>
        </w:rPr>
        <w:t xml:space="preserve">: espaços em transição. São Paulo: Expressão Popular, 2007, p. 23-33.</w:t>
      </w:r>
      <w:r>
        <w:rPr>
          <w:rFonts w:ascii="Georgia" w:hAnsi="Georgia" w:cstheme="minorHAnsi"/>
          <w:sz w:val="24"/>
          <w:szCs w:val="24"/>
        </w:rPr>
      </w:r>
    </w:p>
    <w:p w14:paraId="07186D45" w14:textId="77777777">
      <w:pPr>
        <w:pBdr/>
        <w:spacing w:after="120" w:line="240" w:lineRule="auto"/>
        <w:ind/>
        <w:jc w:val="both"/>
        <w:rPr>
          <w:rFonts w:ascii="Georgia" w:hAnsi="Georgia" w:cstheme="minorHAnsi"/>
          <w:sz w:val="24"/>
          <w:szCs w:val="24"/>
        </w:rPr>
      </w:pPr>
      <w:r>
        <w:rPr>
          <w:rFonts w:ascii="Georgia" w:hAnsi="Georgia" w:cstheme="minorHAnsi"/>
          <w:sz w:val="24"/>
          <w:szCs w:val="24"/>
        </w:rPr>
        <w:t xml:space="preserve">CORRÊA, Roberto L. </w:t>
      </w:r>
      <w:r>
        <w:rPr>
          <w:rFonts w:ascii="Georgia" w:hAnsi="Georgia" w:cstheme="minorHAnsi"/>
          <w:b/>
          <w:sz w:val="24"/>
          <w:szCs w:val="24"/>
        </w:rPr>
        <w:t xml:space="preserve">Estudos sobre a rede urbana</w:t>
      </w:r>
      <w:r>
        <w:rPr>
          <w:rFonts w:ascii="Georgia" w:hAnsi="Georgia" w:cstheme="minorHAnsi"/>
          <w:sz w:val="24"/>
          <w:szCs w:val="24"/>
        </w:rPr>
        <w:t xml:space="preserve">. Rio de Janeiro: Bertrand Brasil, 2006.</w:t>
      </w:r>
      <w:r>
        <w:rPr>
          <w:rFonts w:ascii="Georgia" w:hAnsi="Georgia" w:cstheme="minorHAnsi"/>
          <w:sz w:val="24"/>
          <w:szCs w:val="24"/>
        </w:rPr>
      </w:r>
    </w:p>
    <w:p w14:paraId="4F24A5DD" w14:textId="77777777">
      <w:pPr>
        <w:pBdr/>
        <w:spacing w:after="120" w:line="240" w:lineRule="auto"/>
        <w:ind/>
        <w:jc w:val="both"/>
        <w:rPr>
          <w:rFonts w:ascii="Georgia" w:hAnsi="Georgia" w:cstheme="minorHAnsi"/>
          <w:sz w:val="24"/>
          <w:szCs w:val="24"/>
        </w:rPr>
      </w:pPr>
      <w:r>
        <w:rPr>
          <w:rFonts w:ascii="Georgia" w:hAnsi="Georgia" w:cstheme="minorHAnsi"/>
          <w:sz w:val="24"/>
          <w:szCs w:val="24"/>
        </w:rPr>
        <w:t xml:space="preserve">GEIGER, P. P. </w:t>
      </w:r>
      <w:r>
        <w:rPr>
          <w:rFonts w:ascii="Georgia" w:hAnsi="Georgia" w:cstheme="minorHAnsi"/>
          <w:b/>
          <w:bCs/>
          <w:sz w:val="24"/>
          <w:szCs w:val="24"/>
        </w:rPr>
        <w:t xml:space="preserve">Evolução da rede urbana brasileira</w:t>
      </w:r>
      <w:r>
        <w:rPr>
          <w:rFonts w:ascii="Georgia" w:hAnsi="Georgia" w:cstheme="minorHAnsi"/>
          <w:sz w:val="24"/>
          <w:szCs w:val="24"/>
        </w:rPr>
        <w:t xml:space="preserve">. Río de Janeiro: Centro Brasileiro de Pesquisas Educacionais – Ministério da Educação e Cultura, 1963.</w:t>
      </w:r>
      <w:r>
        <w:rPr>
          <w:rFonts w:ascii="Georgia" w:hAnsi="Georgia" w:cstheme="minorHAnsi"/>
          <w:sz w:val="24"/>
          <w:szCs w:val="24"/>
        </w:rPr>
      </w:r>
    </w:p>
    <w:p w14:paraId="4BFBF929" w14:textId="77777777">
      <w:pPr>
        <w:pBdr/>
        <w:spacing w:after="120" w:line="240" w:lineRule="auto"/>
        <w:ind/>
        <w:jc w:val="both"/>
        <w:rPr>
          <w:rFonts w:ascii="Georgia" w:hAnsi="Georgia" w:cstheme="minorHAnsi"/>
          <w:sz w:val="24"/>
          <w:szCs w:val="24"/>
        </w:rPr>
      </w:pPr>
      <w:r>
        <w:rPr>
          <w:rFonts w:ascii="Georgia" w:hAnsi="Georgia" w:cstheme="minorHAnsi"/>
          <w:sz w:val="24"/>
          <w:szCs w:val="24"/>
        </w:rPr>
        <w:t xml:space="preserve">INSTITUTO BRASILEIRO DE GEOGRAFIA E ESTATÍSTICA (IBGE). </w:t>
      </w:r>
      <w:r>
        <w:rPr>
          <w:rFonts w:ascii="Georgia" w:hAnsi="Georgia" w:cstheme="minorHAnsi"/>
          <w:b/>
          <w:i/>
          <w:sz w:val="24"/>
          <w:szCs w:val="24"/>
        </w:rPr>
        <w:t xml:space="preserve">Cidades@</w:t>
      </w:r>
      <w:r>
        <w:rPr>
          <w:rFonts w:ascii="Georgia" w:hAnsi="Georgia" w:cstheme="minorHAnsi"/>
          <w:sz w:val="24"/>
          <w:szCs w:val="24"/>
        </w:rPr>
        <w:t xml:space="preserve">. https://cidades.ibge.gov.br/brasil/mg/alfenas/panorama, acesso em: 22 de abril de 2024.</w:t>
      </w:r>
      <w:r>
        <w:rPr>
          <w:rFonts w:ascii="Georgia" w:hAnsi="Georgia" w:cstheme="minorHAnsi"/>
          <w:sz w:val="24"/>
          <w:szCs w:val="24"/>
        </w:rPr>
      </w:r>
    </w:p>
    <w:p w14:paraId="1C9266A0" w14:textId="77777777">
      <w:pPr>
        <w:pBdr/>
        <w:spacing w:after="120" w:line="240" w:lineRule="auto"/>
        <w:ind/>
        <w:jc w:val="both"/>
        <w:rPr>
          <w:rFonts w:ascii="Georgia" w:hAnsi="Georgia" w:cstheme="minorHAnsi"/>
          <w:sz w:val="24"/>
          <w:szCs w:val="24"/>
        </w:rPr>
      </w:pPr>
      <w:r>
        <w:rPr>
          <w:rFonts w:ascii="Georgia" w:hAnsi="Georgia" w:cstheme="minorHAnsi"/>
          <w:sz w:val="24"/>
          <w:szCs w:val="24"/>
        </w:rPr>
        <w:t xml:space="preserve">INSTITUTO BRASILEIRO DE GEOGRAFIA E ESTATÍSTICA (IBGE</w:t>
      </w:r>
      <w:r>
        <w:rPr>
          <w:rFonts w:ascii="Georgia" w:hAnsi="Georgia" w:cstheme="minorHAnsi"/>
          <w:b/>
          <w:sz w:val="24"/>
          <w:szCs w:val="24"/>
        </w:rPr>
        <w:t xml:space="preserve">). </w:t>
      </w:r>
      <w:r>
        <w:rPr>
          <w:rFonts w:ascii="Georgia" w:hAnsi="Georgia" w:cstheme="minorHAnsi"/>
          <w:b/>
          <w:bCs/>
          <w:sz w:val="24"/>
          <w:szCs w:val="24"/>
        </w:rPr>
        <w:t xml:space="preserve">Regiões de influência das cidades</w:t>
      </w:r>
      <w:r>
        <w:rPr>
          <w:rFonts w:ascii="Georgia" w:hAnsi="Georgia" w:cstheme="minorHAnsi"/>
          <w:sz w:val="24"/>
          <w:szCs w:val="24"/>
        </w:rPr>
        <w:t xml:space="preserve">: 2018. Rio de Janeiro: IBGE, 2020.</w:t>
      </w:r>
      <w:r>
        <w:rPr>
          <w:rFonts w:ascii="Georgia" w:hAnsi="Georgia" w:cstheme="minorHAnsi"/>
          <w:sz w:val="24"/>
          <w:szCs w:val="24"/>
        </w:rPr>
      </w:r>
    </w:p>
    <w:p w14:paraId="3777BB9A" w14:textId="77777777">
      <w:pPr>
        <w:pBdr/>
        <w:spacing w:after="120" w:line="240" w:lineRule="auto"/>
        <w:ind/>
        <w:jc w:val="both"/>
        <w:rPr>
          <w:rFonts w:ascii="Georgia" w:hAnsi="Georgia" w:cstheme="minorHAnsi"/>
          <w:sz w:val="24"/>
          <w:szCs w:val="24"/>
        </w:rPr>
      </w:pPr>
      <w:r>
        <w:rPr>
          <w:rFonts w:ascii="Georgia" w:hAnsi="Georgia" w:cstheme="minorHAnsi"/>
          <w:sz w:val="24"/>
          <w:szCs w:val="24"/>
        </w:rPr>
        <w:t xml:space="preserve">INSTITUTO BRASILEIRO DE GEOGRAFIA E ESTATÍSTICA (IBGE</w:t>
      </w:r>
      <w:r>
        <w:rPr>
          <w:rFonts w:ascii="Georgia" w:hAnsi="Georgia" w:cstheme="minorHAnsi"/>
          <w:b/>
          <w:sz w:val="24"/>
          <w:szCs w:val="24"/>
        </w:rPr>
        <w:t xml:space="preserve">). Divisão regional do Brasil em regiões geográficas imediatas e regiões geográficas intermediárias</w:t>
      </w:r>
      <w:r>
        <w:rPr>
          <w:rFonts w:ascii="Georgia" w:hAnsi="Georgia" w:cstheme="minorHAnsi"/>
          <w:sz w:val="24"/>
          <w:szCs w:val="24"/>
        </w:rPr>
        <w:t xml:space="preserve">. Rio de Janeiro: IBGE, 2017. 82p.</w:t>
      </w:r>
      <w:r>
        <w:rPr>
          <w:rFonts w:ascii="Georgia" w:hAnsi="Georgia" w:cstheme="minorHAnsi"/>
          <w:sz w:val="24"/>
          <w:szCs w:val="24"/>
        </w:rPr>
      </w:r>
    </w:p>
    <w:p w14:paraId="0764D49F" w14:textId="77777777">
      <w:pPr>
        <w:pBdr/>
        <w:spacing w:after="120" w:line="240" w:lineRule="auto"/>
        <w:ind/>
        <w:jc w:val="both"/>
        <w:rPr>
          <w:rFonts w:ascii="Georgia" w:hAnsi="Georgia" w:cstheme="minorHAnsi"/>
          <w:sz w:val="24"/>
          <w:szCs w:val="24"/>
        </w:rPr>
      </w:pPr>
      <w:r>
        <w:rPr>
          <w:rFonts w:ascii="Georgia" w:hAnsi="Georgia" w:cstheme="minorHAnsi"/>
          <w:sz w:val="24"/>
          <w:szCs w:val="24"/>
        </w:rPr>
        <w:t xml:space="preserve">INSTITUTO NACIONAL DE ESTUDOS E PESQUISAS EDUCACIONAIS ANÍSIO TEIXEIRA (INEP). </w:t>
      </w:r>
      <w:r>
        <w:rPr>
          <w:rFonts w:ascii="Georgia" w:hAnsi="Georgia" w:cstheme="minorHAnsi"/>
          <w:b/>
          <w:sz w:val="24"/>
          <w:szCs w:val="24"/>
        </w:rPr>
        <w:t xml:space="preserve">Estatísticas Censo da Educação Superior</w:t>
      </w:r>
      <w:r>
        <w:rPr>
          <w:rFonts w:ascii="Georgia" w:hAnsi="Georgia" w:cstheme="minorHAnsi"/>
          <w:sz w:val="24"/>
          <w:szCs w:val="24"/>
        </w:rPr>
        <w:t xml:space="preserve">, 2024. Disponível em:</w:t>
      </w:r>
      <w:hyperlink r:id="rId23" w:tooltip="https://app.powerbi.com/view?r=eyJrIjoiMGJiMmNiNTAtOTY1OC00ZjUzLTg2OGUtMjAzYzNiYTA5YjliIiwidCI6IjI2ZjczODk3LWM4YWMtNGIxZS05NzhmLWVhNGMwNzc0MzRiZiJ9&amp;pageName=ReportSection4036c90b8a27b5f58f54" w:history="1">
        <w:r>
          <w:rPr>
            <w:rFonts w:ascii="Georgia" w:hAnsi="Georgia" w:cstheme="minorHAnsi"/>
            <w:sz w:val="24"/>
            <w:szCs w:val="24"/>
          </w:rPr>
          <w:t xml:space="preserve"> </w:t>
        </w:r>
      </w:hyperlink>
      <w:r/>
      <w:hyperlink r:id="rId24" w:tooltip="https://app.powerbi.com/view?r=eyJrIjoiMGJiMmNiNTAtOTY1OC00ZjUzLTg2OGUtMjAzYzNiYTA5YjliIiwidCI6IjI2ZjczODk3LWM4YWMtNGIxZS05NzhmLWVhNGMwNzc0MzRiZiJ9&amp;pageName=ReportSection4036c90b8a27b5f58f54" w:history="1">
        <w:r>
          <w:rPr>
            <w:rFonts w:ascii="Georgia" w:hAnsi="Georgia" w:cstheme="minorHAnsi"/>
            <w:color w:val="1155cc"/>
            <w:sz w:val="24"/>
            <w:szCs w:val="24"/>
            <w:u w:val="single"/>
          </w:rPr>
          <w:t xml:space="preserve">https://app.powerbi.com/view?r=eyJrIjoiMGJiMmNiNTAtOTY1OC00ZjUzLTg2OGUtMjAzYzNiYTA5YjliIiwidCI6IjI2ZjczODk3LWM4YWMtNGIxZS05NzhmL</w:t>
        </w:r>
        <w:r>
          <w:rPr>
            <w:rFonts w:ascii="Georgia" w:hAnsi="Georgia" w:cstheme="minorHAnsi"/>
            <w:color w:val="1155cc"/>
            <w:sz w:val="24"/>
            <w:szCs w:val="24"/>
            <w:u w:val="single"/>
          </w:rPr>
          <w:t xml:space="preserve">WVhNGMwNzc0MzRiZiJ9&amp;pageName=ReportSection4036c90b8a27b5f58f54</w:t>
        </w:r>
      </w:hyperlink>
      <w:r>
        <w:rPr>
          <w:rFonts w:ascii="Georgia" w:hAnsi="Georgia" w:cstheme="minorHAnsi"/>
          <w:sz w:val="24"/>
          <w:szCs w:val="24"/>
        </w:rPr>
        <w:t xml:space="preserve"> Acesso em: 06 jun. 2024</w:t>
      </w:r>
      <w:r>
        <w:rPr>
          <w:rFonts w:ascii="Georgia" w:hAnsi="Georgia" w:cstheme="minorHAnsi"/>
          <w:sz w:val="24"/>
          <w:szCs w:val="24"/>
        </w:rPr>
      </w:r>
    </w:p>
    <w:p w14:paraId="423D8ACA" w14:textId="77777777">
      <w:pPr>
        <w:pBdr/>
        <w:spacing w:after="120" w:line="240" w:lineRule="auto"/>
        <w:ind/>
        <w:jc w:val="both"/>
        <w:rPr>
          <w:rFonts w:ascii="Georgia" w:hAnsi="Georgia" w:cstheme="minorHAnsi"/>
          <w:sz w:val="24"/>
          <w:szCs w:val="24"/>
        </w:rPr>
      </w:pPr>
      <w:r>
        <w:rPr>
          <w:rFonts w:ascii="Georgia" w:hAnsi="Georgia" w:cstheme="minorHAnsi"/>
          <w:sz w:val="24"/>
          <w:szCs w:val="24"/>
        </w:rPr>
        <w:t xml:space="preserve">LENCIONI, S. Reestruturação urbano-industrial no Estado de São Paulo: região da metrópole desconcentrada. In: SANTOS, M. SOUZA, M. A. A. SILVEIRA, M. L. </w:t>
      </w:r>
      <w:r>
        <w:rPr>
          <w:rFonts w:ascii="Georgia" w:hAnsi="Georgia" w:cstheme="minorHAnsi"/>
          <w:b/>
          <w:bCs/>
          <w:sz w:val="24"/>
          <w:szCs w:val="24"/>
        </w:rPr>
        <w:t xml:space="preserve">Território globalização e fragmentação</w:t>
      </w:r>
      <w:r>
        <w:rPr>
          <w:rFonts w:ascii="Georgia" w:hAnsi="Georgia" w:cstheme="minorHAnsi"/>
          <w:sz w:val="24"/>
          <w:szCs w:val="24"/>
        </w:rPr>
        <w:t xml:space="preserve">. São Paulo: Hucitec, 1996, p. 198 - 210.</w:t>
      </w:r>
      <w:r>
        <w:rPr>
          <w:rFonts w:ascii="Georgia" w:hAnsi="Georgia" w:cstheme="minorHAnsi"/>
          <w:sz w:val="24"/>
          <w:szCs w:val="24"/>
        </w:rPr>
      </w:r>
    </w:p>
    <w:p w14:paraId="4E02359B" w14:textId="77777777">
      <w:pPr>
        <w:pBdr/>
        <w:spacing w:after="120" w:line="240" w:lineRule="auto"/>
        <w:ind/>
        <w:jc w:val="both"/>
        <w:rPr>
          <w:rFonts w:ascii="Georgia" w:hAnsi="Georgia" w:cstheme="minorHAnsi"/>
          <w:sz w:val="24"/>
          <w:szCs w:val="24"/>
        </w:rPr>
      </w:pPr>
      <w:r>
        <w:rPr>
          <w:rFonts w:ascii="Georgia" w:hAnsi="Georgia" w:cstheme="minorHAnsi"/>
          <w:sz w:val="24"/>
          <w:szCs w:val="24"/>
        </w:rPr>
        <w:t xml:space="preserve">MARTINS, Marcos L. A trajetória de Alfenas no período 1830-1930: de centro de invernada a “Atenas do Sul”. In: SAES, Alexandre M.;   MARTINS, Marcos L.; GAMBI, Thiago F. R. (</w:t>
      </w:r>
      <w:r>
        <w:rPr>
          <w:rFonts w:ascii="Georgia" w:hAnsi="Georgia" w:cstheme="minorHAnsi"/>
          <w:sz w:val="24"/>
          <w:szCs w:val="24"/>
        </w:rPr>
        <w:t xml:space="preserve">orgs</w:t>
      </w:r>
      <w:r>
        <w:rPr>
          <w:rFonts w:ascii="Georgia" w:hAnsi="Georgia" w:cstheme="minorHAnsi"/>
          <w:sz w:val="24"/>
          <w:szCs w:val="24"/>
        </w:rPr>
        <w:t xml:space="preserve">). </w:t>
      </w:r>
      <w:r>
        <w:rPr>
          <w:rFonts w:ascii="Georgia" w:hAnsi="Georgia" w:cstheme="minorHAnsi"/>
          <w:b/>
          <w:sz w:val="24"/>
          <w:szCs w:val="24"/>
        </w:rPr>
        <w:t xml:space="preserve">Sul de Minas em urbanização</w:t>
      </w:r>
      <w:r>
        <w:rPr>
          <w:rFonts w:ascii="Georgia" w:hAnsi="Georgia" w:cstheme="minorHAnsi"/>
          <w:sz w:val="24"/>
          <w:szCs w:val="24"/>
        </w:rPr>
        <w:t xml:space="preserve">: modernização urbana no início do século XX. São Paulo: Alameda, 2016, p. 345-386.</w:t>
      </w:r>
      <w:r>
        <w:rPr>
          <w:rFonts w:ascii="Georgia" w:hAnsi="Georgia" w:cstheme="minorHAnsi"/>
          <w:sz w:val="24"/>
          <w:szCs w:val="24"/>
        </w:rPr>
      </w:r>
    </w:p>
    <w:p w14:paraId="45CF6D6D" w14:textId="77777777">
      <w:pPr>
        <w:pBdr/>
        <w:spacing w:after="120" w:line="240" w:lineRule="auto"/>
        <w:ind/>
        <w:jc w:val="both"/>
        <w:rPr>
          <w:rFonts w:ascii="Georgia" w:hAnsi="Georgia" w:cstheme="minorHAnsi"/>
          <w:sz w:val="24"/>
          <w:szCs w:val="24"/>
        </w:rPr>
      </w:pPr>
      <w:r>
        <w:rPr>
          <w:rFonts w:ascii="Georgia" w:hAnsi="Georgia" w:cstheme="minorHAnsi"/>
          <w:sz w:val="24"/>
          <w:szCs w:val="24"/>
        </w:rPr>
        <w:t xml:space="preserve">MINAS GERAIS, SECRETARIA DE ESTADO DA FAZENDA. </w:t>
      </w:r>
      <w:r>
        <w:rPr>
          <w:rFonts w:ascii="Georgia" w:hAnsi="Georgia" w:cstheme="minorHAnsi"/>
          <w:b/>
          <w:bCs/>
          <w:sz w:val="24"/>
          <w:szCs w:val="24"/>
        </w:rPr>
        <w:t xml:space="preserve">Valor Adicionado Fiscal – VAF, noções básicas</w:t>
      </w:r>
      <w:r>
        <w:rPr>
          <w:rFonts w:ascii="Georgia" w:hAnsi="Georgia" w:cstheme="minorHAnsi"/>
          <w:sz w:val="24"/>
          <w:szCs w:val="24"/>
        </w:rPr>
        <w:t xml:space="preserve">. Disponível em: </w:t>
      </w:r>
      <w:hyperlink r:id="rId25" w:tooltip="https://www.fazenda.mg.gov.br/governo/assuntos_municipais/vaf/nocoes.html#:~:text=O%20VAF%20consiste%20no%20valor,empresa%2C%20num%20determinado%20ano%20civil" w:anchor=":~:text=O%20VAF%20consiste%20no%20valor,empresa%2C%20num%20determinado%20ano%20civil" w:history="1">
        <w:r>
          <w:rPr>
            <w:rStyle w:val="847"/>
            <w:rFonts w:ascii="Georgia" w:hAnsi="Georgia" w:cstheme="minorHAnsi"/>
            <w:color w:val="626262" w:themeColor="accent4" w:themeShade="BF"/>
            <w:sz w:val="24"/>
            <w:szCs w:val="24"/>
          </w:rPr>
          <w:t xml:space="preserve">https://www.fazenda.mg.gov.br/governo/assuntos_municipais/vaf/nocoes.html#:~:text=O%20VAF%20consiste%20no%20valor,empresa%2C%20num%20determinado%20ano%20civil</w:t>
        </w:r>
      </w:hyperlink>
      <w:r>
        <w:rPr>
          <w:rFonts w:ascii="Georgia" w:hAnsi="Georgia" w:cstheme="minorHAnsi"/>
          <w:color w:val="626262" w:themeColor="accent4" w:themeShade="BF"/>
          <w:sz w:val="24"/>
          <w:szCs w:val="24"/>
        </w:rPr>
        <w:t xml:space="preserve">.</w:t>
      </w:r>
      <w:r>
        <w:rPr>
          <w:rFonts w:ascii="Georgia" w:hAnsi="Georgia" w:cstheme="minorHAnsi"/>
          <w:sz w:val="24"/>
          <w:szCs w:val="24"/>
        </w:rPr>
        <w:t xml:space="preserve"> Acesso em: 12 mar. 2025.</w:t>
      </w:r>
      <w:r>
        <w:rPr>
          <w:rFonts w:ascii="Georgia" w:hAnsi="Georgia" w:cstheme="minorHAnsi"/>
          <w:sz w:val="24"/>
          <w:szCs w:val="24"/>
        </w:rPr>
      </w:r>
    </w:p>
    <w:p w14:paraId="41A5BA93" w14:textId="77777777">
      <w:pPr>
        <w:pBdr/>
        <w:spacing w:after="120" w:line="240" w:lineRule="auto"/>
        <w:ind/>
        <w:jc w:val="both"/>
        <w:rPr>
          <w:rFonts w:ascii="Georgia" w:hAnsi="Georgia" w:cstheme="minorHAnsi"/>
          <w:sz w:val="24"/>
          <w:szCs w:val="24"/>
        </w:rPr>
      </w:pPr>
      <w:r>
        <w:rPr>
          <w:rFonts w:ascii="Georgia" w:hAnsi="Georgia" w:cstheme="minorHAnsi"/>
          <w:sz w:val="24"/>
          <w:szCs w:val="24"/>
        </w:rPr>
        <w:t xml:space="preserve">MINAS GERAIS. </w:t>
      </w:r>
      <w:r>
        <w:rPr>
          <w:rFonts w:ascii="Georgia" w:hAnsi="Georgia" w:cstheme="minorHAnsi"/>
          <w:b/>
          <w:sz w:val="24"/>
          <w:szCs w:val="24"/>
        </w:rPr>
        <w:t xml:space="preserve">Busca Ativa de Vagas</w:t>
      </w:r>
      <w:r>
        <w:rPr>
          <w:rFonts w:ascii="Georgia" w:hAnsi="Georgia" w:cstheme="minorHAnsi"/>
          <w:sz w:val="24"/>
          <w:szCs w:val="24"/>
        </w:rPr>
        <w:t xml:space="preserve">. Disponível em: </w:t>
      </w:r>
      <w:hyperlink r:id="rId26" w:tooltip="https://app.powerbi.com/view?r=eyJrIjoiYWNhN2U1YjYtMDYyYS00ZDk4LWEwYzUtZjczZDUxMGM3OWJkIiwidCI6ImMwZTY1MzllLThjZGUtNDZlNy1hOTc4LWI1YTNmZTlmMGMzOSJ9" w:history="1">
        <w:r>
          <w:rPr>
            <w:rFonts w:ascii="Georgia" w:hAnsi="Georgia" w:cstheme="minorHAnsi"/>
            <w:color w:val="1155cc"/>
            <w:sz w:val="24"/>
            <w:szCs w:val="24"/>
            <w:u w:val="single"/>
          </w:rPr>
          <w:t xml:space="preserve">https://app.powerbi.com/view?r=eyJrIjoiYWNhN2U1YjYtMDYyYS00ZDk4LWEwYzUtZjczZDUxMGM3OWJkIiwidCI6ImMwZTY1MzllLThjZGUtNDZlNy1hOTc4LWI1YTNmZTlmMGMzOSJ9</w:t>
        </w:r>
      </w:hyperlink>
      <w:r>
        <w:rPr>
          <w:rFonts w:ascii="Georgia" w:hAnsi="Georgia" w:cstheme="minorHAnsi"/>
          <w:sz w:val="24"/>
          <w:szCs w:val="24"/>
        </w:rPr>
        <w:t xml:space="preserve">  Acesso em: 06 jul. 2024.</w:t>
      </w:r>
      <w:r>
        <w:rPr>
          <w:rFonts w:ascii="Georgia" w:hAnsi="Georgia" w:cstheme="minorHAnsi"/>
          <w:sz w:val="24"/>
          <w:szCs w:val="24"/>
        </w:rPr>
      </w:r>
    </w:p>
    <w:p w14:paraId="0DF37A4A" w14:textId="77777777">
      <w:pPr>
        <w:pBdr/>
        <w:spacing w:after="120" w:line="240" w:lineRule="auto"/>
        <w:ind/>
        <w:jc w:val="both"/>
        <w:rPr>
          <w:rFonts w:ascii="Georgia" w:hAnsi="Georgia" w:cstheme="minorHAnsi"/>
          <w:sz w:val="24"/>
          <w:szCs w:val="24"/>
        </w:rPr>
      </w:pPr>
      <w:r>
        <w:rPr>
          <w:rFonts w:ascii="Georgia" w:hAnsi="Georgia" w:cstheme="minorHAnsi"/>
          <w:sz w:val="24"/>
          <w:szCs w:val="24"/>
        </w:rPr>
        <w:t xml:space="preserve">MINISTÉRIO DA SAÚDE. </w:t>
      </w:r>
      <w:r>
        <w:rPr>
          <w:rFonts w:ascii="Georgia" w:hAnsi="Georgia" w:cstheme="minorHAnsi"/>
          <w:b/>
          <w:bCs/>
          <w:sz w:val="24"/>
          <w:szCs w:val="24"/>
        </w:rPr>
        <w:t xml:space="preserve">Cadastro Nacional dos Estabelecimentos de Saúde do Brasil</w:t>
      </w:r>
      <w:r>
        <w:rPr>
          <w:rFonts w:ascii="Georgia" w:hAnsi="Georgia" w:cstheme="minorHAnsi"/>
          <w:sz w:val="24"/>
          <w:szCs w:val="24"/>
        </w:rPr>
        <w:t xml:space="preserve">. Disponível em:</w:t>
      </w:r>
      <w:hyperlink r:id="rId27" w:tooltip="https://datasus.saude.gov.br/cnes-estabelecimentos" w:history="1">
        <w:r>
          <w:rPr>
            <w:rFonts w:ascii="Georgia" w:hAnsi="Georgia" w:cstheme="minorHAnsi"/>
            <w:sz w:val="24"/>
            <w:szCs w:val="24"/>
          </w:rPr>
          <w:t xml:space="preserve"> </w:t>
        </w:r>
      </w:hyperlink>
      <w:r/>
      <w:hyperlink r:id="rId28" w:tooltip="https://datasus.saude.gov.br/cnes-estabelecimentos" w:history="1">
        <w:r>
          <w:rPr>
            <w:rStyle w:val="847"/>
            <w:rFonts w:ascii="Georgia" w:hAnsi="Georgia" w:cstheme="minorHAnsi"/>
            <w:color w:val="626262" w:themeColor="accent4" w:themeShade="BF"/>
            <w:sz w:val="24"/>
            <w:szCs w:val="24"/>
          </w:rPr>
          <w:t xml:space="preserve">https://datasus.saude.gov.br/cnes-estabelecimentos</w:t>
        </w:r>
      </w:hyperlink>
      <w:r>
        <w:rPr>
          <w:rFonts w:ascii="Georgia" w:hAnsi="Georgia" w:cstheme="minorHAnsi"/>
          <w:color w:val="626262" w:themeColor="accent4" w:themeShade="BF"/>
          <w:sz w:val="24"/>
          <w:szCs w:val="24"/>
        </w:rPr>
        <w:t xml:space="preserve">.</w:t>
      </w:r>
      <w:r>
        <w:rPr>
          <w:rFonts w:ascii="Georgia" w:hAnsi="Georgia" w:cstheme="minorHAnsi"/>
          <w:sz w:val="24"/>
          <w:szCs w:val="24"/>
        </w:rPr>
        <w:t xml:space="preserve"> Acesso em: 06 jul. 2024.</w:t>
      </w:r>
      <w:r>
        <w:rPr>
          <w:rFonts w:ascii="Georgia" w:hAnsi="Georgia" w:cstheme="minorHAnsi"/>
          <w:sz w:val="24"/>
          <w:szCs w:val="24"/>
        </w:rPr>
      </w:r>
    </w:p>
    <w:p w14:paraId="50A7170A" w14:textId="77777777">
      <w:pPr>
        <w:pBdr/>
        <w:spacing w:after="120" w:line="240" w:lineRule="auto"/>
        <w:ind/>
        <w:jc w:val="both"/>
        <w:rPr>
          <w:rFonts w:ascii="Georgia" w:hAnsi="Georgia" w:cstheme="minorHAnsi"/>
          <w:sz w:val="24"/>
          <w:szCs w:val="24"/>
        </w:rPr>
      </w:pPr>
      <w:r>
        <w:rPr>
          <w:rFonts w:ascii="Georgia" w:hAnsi="Georgia" w:cstheme="minorHAnsi"/>
          <w:sz w:val="24"/>
          <w:szCs w:val="24"/>
        </w:rPr>
        <w:t xml:space="preserve">MINISTÉRIO DA SAÚDE. </w:t>
      </w:r>
      <w:r>
        <w:rPr>
          <w:rFonts w:ascii="Georgia" w:hAnsi="Georgia" w:cstheme="minorHAnsi"/>
          <w:b/>
          <w:bCs/>
          <w:sz w:val="24"/>
          <w:szCs w:val="24"/>
        </w:rPr>
        <w:t xml:space="preserve">Índice de Gini da renda domiciliar </w:t>
      </w:r>
      <w:r>
        <w:rPr>
          <w:rFonts w:ascii="Georgia" w:hAnsi="Georgia" w:cstheme="minorHAnsi"/>
          <w:b/>
          <w:bCs/>
          <w:i/>
          <w:iCs/>
          <w:sz w:val="24"/>
          <w:szCs w:val="24"/>
        </w:rPr>
        <w:t xml:space="preserve">per capita</w:t>
      </w:r>
      <w:r>
        <w:rPr>
          <w:rFonts w:ascii="Georgia" w:hAnsi="Georgia" w:cstheme="minorHAnsi"/>
          <w:b/>
          <w:bCs/>
          <w:sz w:val="24"/>
          <w:szCs w:val="24"/>
        </w:rPr>
        <w:t xml:space="preserve"> segundo Município. </w:t>
      </w:r>
      <w:r>
        <w:rPr>
          <w:rFonts w:ascii="Georgia" w:hAnsi="Georgia" w:cstheme="minorHAnsi"/>
          <w:sz w:val="24"/>
          <w:szCs w:val="24"/>
        </w:rPr>
        <w:t xml:space="preserve">Disponível em:</w:t>
      </w:r>
      <w:hyperlink r:id="rId29" w:tooltip="https://datasus.saude.gov.br/cnes-estabelecimentos" w:history="1">
        <w:r>
          <w:rPr>
            <w:rFonts w:ascii="Georgia" w:hAnsi="Georgia" w:cstheme="minorHAnsi"/>
            <w:sz w:val="24"/>
            <w:szCs w:val="24"/>
          </w:rPr>
          <w:t xml:space="preserve"> </w:t>
        </w:r>
      </w:hyperlink>
      <w:r>
        <w:rPr>
          <w:rFonts w:ascii="Georgia" w:hAnsi="Georgia"/>
          <w:sz w:val="24"/>
          <w:szCs w:val="24"/>
        </w:rPr>
        <w:t xml:space="preserve"> </w:t>
      </w:r>
      <w:hyperlink r:id="rId30" w:tooltip="http://tabnet.datasus.gov.br/cgi/ibge/censo/cnv/ginibr.def" w:history="1">
        <w:r>
          <w:rPr>
            <w:rStyle w:val="847"/>
            <w:rFonts w:ascii="Georgia" w:hAnsi="Georgia"/>
            <w:color w:val="626262" w:themeColor="accent4" w:themeShade="BF"/>
            <w:sz w:val="24"/>
            <w:szCs w:val="24"/>
          </w:rPr>
          <w:t xml:space="preserve">http://tabnet.datasus.gov.br/cgi/ibge/censo/cnv/ginibr.def</w:t>
        </w:r>
      </w:hyperlink>
      <w:r>
        <w:rPr>
          <w:rFonts w:ascii="Georgia" w:hAnsi="Georgia"/>
        </w:rPr>
        <w:t xml:space="preserve">. </w:t>
      </w:r>
      <w:r>
        <w:rPr>
          <w:rFonts w:ascii="Georgia" w:hAnsi="Georgia" w:cstheme="minorHAnsi"/>
          <w:sz w:val="24"/>
          <w:szCs w:val="24"/>
        </w:rPr>
        <w:t xml:space="preserve">Acesso em: 06 jul. 2025.</w:t>
      </w:r>
      <w:r>
        <w:rPr>
          <w:rFonts w:ascii="Georgia" w:hAnsi="Georgia" w:cstheme="minorHAnsi"/>
          <w:sz w:val="24"/>
          <w:szCs w:val="24"/>
        </w:rPr>
      </w:r>
    </w:p>
    <w:p w14:paraId="352BB047" w14:textId="77777777">
      <w:pPr>
        <w:pBdr/>
        <w:spacing w:after="120" w:line="240" w:lineRule="auto"/>
        <w:ind/>
        <w:jc w:val="both"/>
        <w:rPr>
          <w:rFonts w:ascii="Georgia" w:hAnsi="Georgia" w:cstheme="minorHAnsi"/>
          <w:sz w:val="24"/>
          <w:szCs w:val="24"/>
        </w:rPr>
      </w:pPr>
      <w:r>
        <w:rPr>
          <w:rFonts w:ascii="Georgia" w:hAnsi="Georgia" w:cstheme="minorHAnsi"/>
          <w:sz w:val="24"/>
          <w:szCs w:val="24"/>
        </w:rPr>
        <w:t xml:space="preserve">RELAÇÃO ANUAL DE INFORMAÇÕES SOCIAIS (RAIS). Disponível em: </w:t>
      </w:r>
      <w:hyperlink r:id="rId31" w:tooltip="https://app.powerbi.com/view?r=eyJrIjoiMWY0NzM0ZWEtNDIxZi00NzZhLTg1ODMtYTEzYmE0YTVmODk0IiwidCI6ImMwZTY1MzllLThjZGUtNDZlNy1hOTc4LWI1YTNmZTlmMGMzOSJ9" w:history="1">
        <w:r>
          <w:rPr>
            <w:rFonts w:ascii="Georgia" w:hAnsi="Georgia" w:cstheme="minorHAnsi"/>
            <w:color w:val="1155cc"/>
            <w:sz w:val="24"/>
            <w:szCs w:val="24"/>
            <w:u w:val="single"/>
          </w:rPr>
          <w:t xml:space="preserve">https://app.powerbi.com/view?r=eyJrIjoiMWY0NzM0ZWEtNDIxZi00NzZhLTg1ODMtYTEzYmE0YTVmODk0IiwidCI6ImMwZTY1MzllLThjZGUtNDZlNy1hOTc4LWI1YTNmZTlmMGMzOSJ9</w:t>
        </w:r>
      </w:hyperlink>
      <w:r>
        <w:rPr>
          <w:rFonts w:ascii="Georgia" w:hAnsi="Georgia" w:cstheme="minorHAnsi"/>
          <w:sz w:val="24"/>
          <w:szCs w:val="24"/>
        </w:rPr>
        <w:t xml:space="preserve">. Acesso em: 06 jul. 2024.</w:t>
      </w:r>
      <w:r>
        <w:rPr>
          <w:rFonts w:ascii="Georgia" w:hAnsi="Georgia" w:cstheme="minorHAnsi"/>
          <w:sz w:val="24"/>
          <w:szCs w:val="24"/>
        </w:rPr>
      </w:r>
    </w:p>
    <w:p w14:paraId="68165EDE" w14:textId="77777777">
      <w:pPr>
        <w:pBdr/>
        <w:spacing w:after="120" w:line="240" w:lineRule="auto"/>
        <w:ind/>
        <w:jc w:val="both"/>
        <w:rPr>
          <w:rFonts w:ascii="Georgia" w:hAnsi="Georgia" w:cstheme="minorHAnsi"/>
          <w:sz w:val="24"/>
          <w:szCs w:val="24"/>
        </w:rPr>
      </w:pPr>
      <w:r>
        <w:rPr>
          <w:rFonts w:ascii="Georgia" w:hAnsi="Georgia" w:cstheme="minorHAnsi"/>
          <w:sz w:val="24"/>
          <w:szCs w:val="24"/>
        </w:rPr>
        <w:t xml:space="preserve">SANTOS, Milton. </w:t>
      </w:r>
      <w:r>
        <w:rPr>
          <w:rFonts w:ascii="Georgia" w:hAnsi="Georgia" w:cstheme="minorHAnsi"/>
          <w:b/>
          <w:sz w:val="24"/>
          <w:szCs w:val="24"/>
        </w:rPr>
        <w:t xml:space="preserve">A urbanização brasileira</w:t>
      </w:r>
      <w:r>
        <w:rPr>
          <w:rFonts w:ascii="Georgia" w:hAnsi="Georgia" w:cstheme="minorHAnsi"/>
          <w:sz w:val="24"/>
          <w:szCs w:val="24"/>
        </w:rPr>
        <w:t xml:space="preserve">. São Paulo: Edusp, 2002.</w:t>
      </w:r>
      <w:r>
        <w:rPr>
          <w:rFonts w:ascii="Georgia" w:hAnsi="Georgia" w:cstheme="minorHAnsi"/>
          <w:sz w:val="24"/>
          <w:szCs w:val="24"/>
        </w:rPr>
      </w:r>
    </w:p>
    <w:p w14:paraId="3D426B00" w14:textId="77777777">
      <w:pPr>
        <w:pBdr/>
        <w:spacing w:after="120" w:line="240" w:lineRule="auto"/>
        <w:ind/>
        <w:jc w:val="both"/>
        <w:rPr>
          <w:rFonts w:ascii="Georgia" w:hAnsi="Georgia" w:cstheme="minorHAnsi"/>
          <w:sz w:val="24"/>
          <w:szCs w:val="24"/>
        </w:rPr>
      </w:pPr>
      <w:r>
        <w:rPr>
          <w:rFonts w:ascii="Georgia" w:hAnsi="Georgia" w:cstheme="minorHAnsi"/>
          <w:sz w:val="24"/>
          <w:szCs w:val="24"/>
        </w:rPr>
        <w:t xml:space="preserve">SANTOS, Milton; SILVEIRA, Maria L. </w:t>
      </w:r>
      <w:r>
        <w:rPr>
          <w:rFonts w:ascii="Georgia" w:hAnsi="Georgia" w:cstheme="minorHAnsi"/>
          <w:b/>
          <w:sz w:val="24"/>
          <w:szCs w:val="24"/>
        </w:rPr>
        <w:t xml:space="preserve">O Brasil:</w:t>
      </w:r>
      <w:r>
        <w:rPr>
          <w:rFonts w:ascii="Georgia" w:hAnsi="Georgia" w:cstheme="minorHAnsi"/>
          <w:sz w:val="24"/>
          <w:szCs w:val="24"/>
        </w:rPr>
        <w:t xml:space="preserve"> território e sociedade no início do século XXI. Rio de Janeiro: Record, 2006.</w:t>
      </w:r>
      <w:r>
        <w:rPr>
          <w:rFonts w:ascii="Georgia" w:hAnsi="Georgia" w:cstheme="minorHAnsi"/>
          <w:sz w:val="24"/>
          <w:szCs w:val="24"/>
        </w:rPr>
      </w:r>
    </w:p>
    <w:p w14:paraId="380FBE9C" w14:textId="77777777">
      <w:pPr>
        <w:pBdr/>
        <w:spacing w:after="120" w:line="240" w:lineRule="auto"/>
        <w:ind/>
        <w:jc w:val="both"/>
        <w:rPr>
          <w:rFonts w:ascii="Georgia" w:hAnsi="Georgia" w:cstheme="minorHAnsi"/>
          <w:sz w:val="24"/>
          <w:szCs w:val="24"/>
        </w:rPr>
      </w:pPr>
      <w:r>
        <w:rPr>
          <w:rFonts w:ascii="Georgia" w:hAnsi="Georgia" w:cstheme="minorHAnsi"/>
          <w:sz w:val="24"/>
          <w:szCs w:val="24"/>
        </w:rPr>
        <w:t xml:space="preserve">SANTOS, Milton. </w:t>
      </w:r>
      <w:r>
        <w:rPr>
          <w:rFonts w:ascii="Georgia" w:hAnsi="Georgia" w:cstheme="minorHAnsi"/>
          <w:b/>
          <w:bCs/>
          <w:sz w:val="24"/>
          <w:szCs w:val="24"/>
        </w:rPr>
        <w:t xml:space="preserve">A natureza do espaço:</w:t>
      </w:r>
      <w:r>
        <w:rPr>
          <w:rFonts w:ascii="Georgia" w:hAnsi="Georgia" w:cstheme="minorHAnsi"/>
          <w:sz w:val="24"/>
          <w:szCs w:val="24"/>
        </w:rPr>
        <w:t xml:space="preserve"> técnica e tempo, razão e emoção. São Paulo: Editora da Universidade de São Paulo, 2006.</w:t>
      </w:r>
      <w:r>
        <w:rPr>
          <w:rFonts w:ascii="Georgia" w:hAnsi="Georgia" w:cstheme="minorHAnsi"/>
          <w:sz w:val="24"/>
          <w:szCs w:val="24"/>
        </w:rPr>
      </w:r>
    </w:p>
    <w:p w14:paraId="4F1037D2" w14:textId="77777777">
      <w:pPr>
        <w:pBdr/>
        <w:spacing w:after="120" w:line="240" w:lineRule="auto"/>
        <w:ind/>
        <w:jc w:val="both"/>
        <w:rPr>
          <w:rFonts w:ascii="Georgia" w:hAnsi="Georgia" w:cstheme="minorHAnsi"/>
          <w:sz w:val="24"/>
          <w:szCs w:val="24"/>
        </w:rPr>
      </w:pPr>
      <w:r/>
      <w:bookmarkStart w:id="3" w:name="_Hlk195427859"/>
      <w:r>
        <w:rPr>
          <w:rFonts w:ascii="Georgia" w:hAnsi="Georgia" w:cstheme="minorHAnsi"/>
          <w:sz w:val="24"/>
          <w:szCs w:val="24"/>
        </w:rPr>
        <w:fldChar w:fldCharType="begin"/>
      </w:r>
      <w:r>
        <w:rPr>
          <w:rFonts w:ascii="Georgia" w:hAnsi="Georgia" w:cstheme="minorHAnsi"/>
          <w:sz w:val="24"/>
          <w:szCs w:val="24"/>
        </w:rPr>
        <w:instrText xml:space="preserve">HYPERLINK "https://www.gov.br/mdic/pt-br/assuntos/comercio-exterior"</w:instrText>
      </w:r>
      <w:r>
        <w:rPr>
          <w:rFonts w:ascii="Georgia" w:hAnsi="Georgia" w:cstheme="minorHAnsi"/>
          <w:sz w:val="24"/>
          <w:szCs w:val="24"/>
        </w:rPr>
        <w:fldChar w:fldCharType="separate"/>
      </w:r>
      <w:r>
        <w:rPr>
          <w:rStyle w:val="847"/>
          <w:rFonts w:ascii="Georgia" w:hAnsi="Georgia" w:cstheme="minorHAnsi"/>
          <w:color w:val="auto"/>
          <w:sz w:val="24"/>
          <w:szCs w:val="24"/>
          <w:u w:val="none"/>
        </w:rPr>
        <w:t xml:space="preserve">SECRETARIA DE COMÉRCIO EXTERIOR (SECEX)</w:t>
      </w:r>
      <w:r>
        <w:rPr>
          <w:rFonts w:ascii="Georgia" w:hAnsi="Georgia" w:cstheme="minorHAnsi"/>
          <w:sz w:val="24"/>
          <w:szCs w:val="24"/>
        </w:rPr>
        <w:fldChar w:fldCharType="end"/>
      </w:r>
      <w:bookmarkEnd w:id="3"/>
      <w:r>
        <w:rPr>
          <w:rFonts w:ascii="Georgia" w:hAnsi="Georgia" w:cstheme="minorHAnsi"/>
          <w:sz w:val="24"/>
          <w:szCs w:val="24"/>
        </w:rPr>
        <w:t xml:space="preserve">. </w:t>
      </w:r>
      <w:r>
        <w:rPr>
          <w:rFonts w:ascii="Georgia" w:hAnsi="Georgia" w:cstheme="minorHAnsi"/>
          <w:b/>
          <w:bCs/>
          <w:sz w:val="24"/>
          <w:szCs w:val="24"/>
        </w:rPr>
        <w:t xml:space="preserve">Estatísticas do comércio exterior</w:t>
      </w:r>
      <w:r>
        <w:rPr>
          <w:rFonts w:ascii="Georgia" w:hAnsi="Georgia" w:cstheme="minorHAnsi"/>
          <w:sz w:val="24"/>
          <w:szCs w:val="24"/>
        </w:rPr>
        <w:t xml:space="preserve">. Disponível em: </w:t>
      </w:r>
      <w:hyperlink r:id="rId32" w:tooltip="https://comexstat.mdic.gov.br/pt/municipio" w:history="1">
        <w:r>
          <w:rPr>
            <w:rStyle w:val="847"/>
            <w:rFonts w:ascii="Georgia" w:hAnsi="Georgia" w:cstheme="minorHAnsi"/>
            <w:color w:val="626262" w:themeColor="accent4" w:themeShade="BF"/>
            <w:sz w:val="24"/>
            <w:szCs w:val="24"/>
          </w:rPr>
          <w:t xml:space="preserve">https://comexstat.mdic.gov.br/pt/municipio</w:t>
        </w:r>
      </w:hyperlink>
      <w:r>
        <w:rPr>
          <w:rFonts w:ascii="Georgia" w:hAnsi="Georgia" w:cstheme="minorHAnsi"/>
          <w:color w:val="626262" w:themeColor="accent4" w:themeShade="BF"/>
          <w:sz w:val="24"/>
          <w:szCs w:val="24"/>
        </w:rPr>
        <w:t xml:space="preserve">. </w:t>
      </w:r>
      <w:r>
        <w:rPr>
          <w:rFonts w:ascii="Georgia" w:hAnsi="Georgia" w:cstheme="minorHAnsi"/>
          <w:sz w:val="24"/>
          <w:szCs w:val="24"/>
        </w:rPr>
        <w:t xml:space="preserve">Acesso em 11 mar. 2025.</w:t>
      </w:r>
      <w:r>
        <w:rPr>
          <w:rFonts w:ascii="Georgia" w:hAnsi="Georgia" w:cstheme="minorHAnsi"/>
          <w:sz w:val="24"/>
          <w:szCs w:val="24"/>
        </w:rPr>
      </w:r>
    </w:p>
    <w:p w14:paraId="3C3A4244" w14:textId="77777777">
      <w:pPr>
        <w:pBdr/>
        <w:spacing w:after="120" w:line="240" w:lineRule="auto"/>
        <w:ind/>
        <w:jc w:val="both"/>
        <w:rPr>
          <w:rFonts w:ascii="Georgia" w:hAnsi="Georgia" w:cstheme="minorHAnsi"/>
          <w:sz w:val="24"/>
          <w:szCs w:val="24"/>
        </w:rPr>
      </w:pPr>
      <w:r>
        <w:rPr>
          <w:rFonts w:ascii="Georgia" w:hAnsi="Georgia" w:cstheme="minorHAnsi"/>
          <w:sz w:val="24"/>
          <w:szCs w:val="24"/>
        </w:rPr>
        <w:t xml:space="preserve">SIGMA TECNOLOGIA E ASSESSORIA. </w:t>
      </w:r>
      <w:r>
        <w:rPr>
          <w:rFonts w:ascii="Georgia" w:hAnsi="Georgia" w:cstheme="minorHAnsi"/>
          <w:b/>
          <w:bCs/>
          <w:sz w:val="24"/>
          <w:szCs w:val="24"/>
        </w:rPr>
        <w:t xml:space="preserve">Metadados do Sigma</w:t>
      </w:r>
      <w:r>
        <w:rPr>
          <w:rFonts w:ascii="Georgia" w:hAnsi="Georgia" w:cstheme="minorHAnsi"/>
          <w:sz w:val="24"/>
          <w:szCs w:val="24"/>
        </w:rPr>
        <w:t xml:space="preserve">. Disponível em: </w:t>
      </w:r>
      <w:hyperlink r:id="rId33" w:tooltip="https://metadados.sigmavaf.com.br/diagnostico" w:history="1">
        <w:r>
          <w:rPr>
            <w:rStyle w:val="847"/>
            <w:rFonts w:ascii="Georgia" w:hAnsi="Georgia" w:cstheme="minorHAnsi"/>
            <w:color w:val="626262" w:themeColor="accent4" w:themeShade="BF"/>
            <w:sz w:val="24"/>
            <w:szCs w:val="24"/>
          </w:rPr>
          <w:t xml:space="preserve">https://metadados.sigmavaf.com.br/diagnostico</w:t>
        </w:r>
      </w:hyperlink>
      <w:r>
        <w:rPr>
          <w:rFonts w:ascii="Georgia" w:hAnsi="Georgia" w:cstheme="minorHAnsi"/>
          <w:color w:val="626262" w:themeColor="accent4" w:themeShade="BF"/>
          <w:sz w:val="24"/>
          <w:szCs w:val="24"/>
        </w:rPr>
        <w:t xml:space="preserve">. </w:t>
      </w:r>
      <w:r>
        <w:rPr>
          <w:rFonts w:ascii="Georgia" w:hAnsi="Georgia" w:cstheme="minorHAnsi"/>
          <w:sz w:val="24"/>
          <w:szCs w:val="24"/>
        </w:rPr>
        <w:t xml:space="preserve">Acesso em: 12 mar. 2025</w:t>
      </w:r>
      <w:r>
        <w:rPr>
          <w:rFonts w:ascii="Georgia" w:hAnsi="Georgia" w:cstheme="minorHAnsi"/>
          <w:sz w:val="24"/>
          <w:szCs w:val="24"/>
        </w:rPr>
      </w:r>
    </w:p>
    <w:p w14:paraId="220CEF6A" w14:textId="77777777">
      <w:pPr>
        <w:pBdr/>
        <w:spacing w:after="120" w:line="240" w:lineRule="auto"/>
        <w:ind/>
        <w:jc w:val="both"/>
        <w:rPr>
          <w:rFonts w:ascii="Georgia" w:hAnsi="Georgia" w:cstheme="minorHAnsi"/>
          <w:sz w:val="24"/>
          <w:szCs w:val="24"/>
        </w:rPr>
      </w:pPr>
      <w:r>
        <w:rPr>
          <w:rFonts w:ascii="Georgia" w:hAnsi="Georgia" w:cstheme="minorHAnsi"/>
          <w:sz w:val="24"/>
          <w:szCs w:val="24"/>
        </w:rPr>
        <w:t xml:space="preserve">SISTEMA IBGE DE RECUPERAÇÃO AUTOMÁTICA (SIDRA). </w:t>
      </w:r>
      <w:r>
        <w:rPr>
          <w:rFonts w:ascii="Georgia" w:hAnsi="Georgia" w:cstheme="minorHAnsi"/>
          <w:b/>
          <w:sz w:val="24"/>
          <w:szCs w:val="24"/>
        </w:rPr>
        <w:t xml:space="preserve">Cadastro Central de Empresas. </w:t>
      </w:r>
      <w:r>
        <w:rPr>
          <w:rFonts w:ascii="Georgia" w:hAnsi="Georgia" w:cstheme="minorHAnsi"/>
          <w:sz w:val="24"/>
          <w:szCs w:val="24"/>
        </w:rPr>
        <w:t xml:space="preserve">Disponível em:</w:t>
      </w:r>
      <w:hyperlink r:id="rId34" w:tooltip="https://sidra.ibge.gov.br/Tabela/992#resultado" w:anchor="resultado" w:history="1">
        <w:r>
          <w:rPr>
            <w:rFonts w:ascii="Georgia" w:hAnsi="Georgia" w:cstheme="minorHAnsi"/>
            <w:b/>
            <w:sz w:val="24"/>
            <w:szCs w:val="24"/>
          </w:rPr>
          <w:t xml:space="preserve"> </w:t>
        </w:r>
      </w:hyperlink>
      <w:r/>
      <w:hyperlink r:id="rId35" w:tooltip="https://sidra.ibge.gov.br/Tabela/992#resultado" w:anchor="resultado" w:history="1">
        <w:r>
          <w:rPr>
            <w:rFonts w:ascii="Georgia" w:hAnsi="Georgia" w:cstheme="minorHAnsi"/>
            <w:color w:val="1155cc"/>
            <w:sz w:val="24"/>
            <w:szCs w:val="24"/>
            <w:u w:val="single"/>
          </w:rPr>
          <w:t xml:space="preserve">https://sidra.ibge.gov.br/Tabela/992#resultado</w:t>
        </w:r>
      </w:hyperlink>
      <w:r>
        <w:rPr>
          <w:rFonts w:ascii="Georgia" w:hAnsi="Georgia" w:cstheme="minorHAnsi"/>
          <w:sz w:val="24"/>
          <w:szCs w:val="24"/>
        </w:rPr>
        <w:t xml:space="preserve"> Acesso em: 08 jan. 2024.</w:t>
      </w:r>
      <w:r>
        <w:rPr>
          <w:rFonts w:ascii="Georgia" w:hAnsi="Georgia" w:cstheme="minorHAnsi"/>
          <w:sz w:val="24"/>
          <w:szCs w:val="24"/>
        </w:rPr>
      </w:r>
    </w:p>
    <w:sectPr>
      <w:footnotePr/>
      <w:endnotePr/>
      <w:type w:val="continuous"/>
      <w:pgSz w:h="16838" w:orient="portrait" w:w="11906"/>
      <w:pgMar w:top="1417" w:right="1701" w:bottom="1417" w:left="1701" w:header="708" w:footer="708" w:gutter="0"/>
      <w:cols w:num="1" w:sep="0" w:space="708"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14:paraId="14687CC6" w14:textId="77777777">
      <w:pPr>
        <w:pBdr/>
        <w:spacing w:after="0" w:line="240" w:lineRule="auto"/>
        <w:ind/>
        <w:rPr/>
      </w:pPr>
      <w:r>
        <w:separator/>
      </w:r>
      <w:r/>
    </w:p>
  </w:endnote>
  <w:endnote w:type="continuationSeparator" w:id="0">
    <w:p w14:paraId="753B17E5" w14:textId="77777777">
      <w:pPr>
        <w:pBdr/>
        <w:spacing w:after="0" w:line="240" w:lineRule="auto"/>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Georgia">
    <w:panose1 w:val="02040502050405020303"/>
  </w:font>
  <w:font w:name="Times New Roman">
    <w:panose1 w:val="02020603050405020304"/>
  </w:font>
  <w:font w:name="Arial">
    <w:panose1 w:val="020B0604020202020204"/>
  </w:font>
  <w:font w:name="Calibri">
    <w:panose1 w:val="020F050202020403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546940CE">
    <w:pPr>
      <w:pBdr/>
      <w:spacing/>
      <w:ind/>
      <w:rPr/>
    </w:pPr>
    <w:r>
      <w:rPr>
        <w:rFonts w:ascii="Georgia" w:hAnsi="Georgia"/>
        <w:sz w:val="16"/>
        <w:szCs w:val="16"/>
      </w:rPr>
      <mc:AlternateContent>
        <mc:Choice Requires="wpg">
          <w:drawing>
            <wp:anchor xmlns:wp="http://schemas.openxmlformats.org/drawingml/2006/wordprocessingDrawing" xmlns:wp14="http://schemas.microsoft.com/office/word/2010/wordprocessingDrawing" distT="0" distB="0" distL="114300" distR="114300" simplePos="0" relativeHeight="251659264" behindDoc="1" locked="0" layoutInCell="1" allowOverlap="1">
              <wp:simplePos x="0" y="0"/>
              <wp:positionH relativeFrom="page">
                <wp:posOffset>0</wp:posOffset>
              </wp:positionH>
              <wp:positionV relativeFrom="page">
                <wp:posOffset>8640775</wp:posOffset>
              </wp:positionV>
              <wp:extent cx="2125980" cy="2054860"/>
              <wp:effectExtent l="0" t="0" r="0" b="0"/>
              <wp:wrapNone/>
              <wp:docPr id="2" name="Triângulo isósceles 12"/>
              <wp:cNvGraphicFramePr/>
              <a:graphic xmlns:a="http://schemas.openxmlformats.org/drawingml/2006/main">
                <a:graphicData uri="http://schemas.microsoft.com/office/word/2010/wordprocessingShape">
                  <wps:wsp>
                    <wps:cNvPr id="1867743240" name=""/>
                    <wps:cNvSpPr>
                      <a:spLocks noChangeArrowheads="1"/>
                    </wps:cNvSpPr>
                    <wps:spPr bwMode="auto">
                      <a:xfrm rot="0" flipH="1" flipV="0">
                        <a:off x="0" y="0"/>
                        <a:ext cx="2125980" cy="2054859"/>
                      </a:xfrm>
                      <a:prstGeom prst="triangle">
                        <a:avLst>
                          <a:gd name="adj" fmla="val 100000"/>
                        </a:avLst>
                      </a:prstGeom>
                      <a:solidFill>
                        <a:srgbClr val="D2EAF1"/>
                      </a:solidFill>
                      <a:ln>
                        <a:noFill/>
                      </a:ln>
                    </wps:spPr>
                    <wps:txbx>
                      <w:txbxContent>
                        <w:p w14:paraId="7FB45658">
                          <w:pPr>
                            <w:pBdr/>
                            <w:spacing/>
                            <w:ind/>
                            <w:jc w:val="center"/>
                            <w:rPr>
                              <w:rFonts w:ascii="Georgia" w:hAnsi="Georgia"/>
                              <w:color w:val="000000" w:themeColor="text1"/>
                              <w:sz w:val="32"/>
                              <w:szCs w:val="32"/>
                            </w:rPr>
                          </w:pPr>
                          <w:r>
                            <w:rPr>
                              <w:rFonts w:ascii="Georgia" w:hAnsi="Georgia" w:cs="Times New Roman" w:eastAsiaTheme="minorEastAsia"/>
                              <w:color w:val="000000" w:themeColor="text1"/>
                              <w:sz w:val="32"/>
                              <w:szCs w:val="32"/>
                            </w:rPr>
                            <w:fldChar w:fldCharType="begin"/>
                          </w:r>
                          <w:r>
                            <w:rPr>
                              <w:rFonts w:ascii="Georgia" w:hAnsi="Georgia"/>
                              <w:color w:val="000000" w:themeColor="text1"/>
                              <w:sz w:val="32"/>
                              <w:szCs w:val="32"/>
                            </w:rPr>
                            <w:instrText xml:space="preserve">PAGE    \* MERGEFORMAT</w:instrText>
                          </w:r>
                          <w:r>
                            <w:rPr>
                              <w:rFonts w:ascii="Georgia" w:hAnsi="Georgia" w:cs="Times New Roman" w:eastAsiaTheme="minorEastAsia"/>
                              <w:color w:val="000000" w:themeColor="text1"/>
                              <w:sz w:val="32"/>
                              <w:szCs w:val="32"/>
                            </w:rPr>
                            <w:fldChar w:fldCharType="separate"/>
                          </w:r>
                          <w:r>
                            <w:rPr>
                              <w:rFonts w:ascii="Georgia" w:hAnsi="Georgia" w:eastAsiaTheme="majorEastAsia" w:cstheme="majorBidi"/>
                              <w:color w:val="000000" w:themeColor="text1"/>
                              <w:sz w:val="32"/>
                              <w:szCs w:val="32"/>
                            </w:rPr>
                            <w:t xml:space="preserve">2</w:t>
                          </w:r>
                          <w:r>
                            <w:rPr>
                              <w:rFonts w:ascii="Georgia" w:hAnsi="Georgia" w:eastAsiaTheme="majorEastAsia" w:cstheme="majorBidi"/>
                              <w:color w:val="000000" w:themeColor="text1"/>
                              <w:sz w:val="32"/>
                              <w:szCs w:val="32"/>
                            </w:rPr>
                            <w:fldChar w:fldCharType="end"/>
                          </w:r>
                          <w:r>
                            <w:rPr>
                              <w:rFonts w:ascii="Georgia" w:hAnsi="Georgia"/>
                              <w:color w:val="000000" w:themeColor="text1"/>
                              <w:sz w:val="32"/>
                              <w:szCs w:val="32"/>
                            </w:rPr>
                          </w:r>
                          <w:r>
                            <w:rPr>
                              <w:rFonts w:ascii="Georgia" w:hAnsi="Georgia"/>
                              <w:color w:val="000000" w:themeColor="text1"/>
                              <w:sz w:val="32"/>
                              <w:szCs w:val="32"/>
                            </w:rPr>
                          </w:r>
                        </w:p>
                      </w:txbxContent>
                    </wps:txbx>
                    <wps:bodyPr rot="0" vert="horz" wrap="square" lIns="91440" tIns="45720" rIns="91440" bIns="45720" anchor="t" anchorCtr="0" upright="1">
                      <a:noAutofit/>
                    </wps:bodyPr>
                  </wps:wsp>
                </a:graphicData>
              </a:graphic>
            </wp:anchor>
          </w:drawing>
        </mc:Choice>
        <mc:Fallback>
          <w:pict>
            <v:shape id="shape 1" o:spid="_x0000_s1" o:spt="5" type="#_x0000_t5" style="position:absolute;z-index:-251659264;o:allowoverlap:true;o:allowincell:true;mso-position-horizontal-relative:page;margin-left:0.00pt;mso-position-horizontal:absolute;mso-position-vertical-relative:page;margin-top:680.38pt;mso-position-vertical:absolute;width:167.40pt;height:161.80pt;mso-wrap-distance-left:9.00pt;mso-wrap-distance-top:0.00pt;mso-wrap-distance-right:9.00pt;mso-wrap-distance-bottom:0.00pt;rotation:0;flip:x;v-text-anchor:top;visibility:visible;" fillcolor="#D2EAF1" stroked="f">
              <v:textbox inset="0,0,0,0">
                <w:txbxContent>
                  <w:p w14:paraId="7FB45658">
                    <w:pPr>
                      <w:pBdr/>
                      <w:spacing/>
                      <w:ind/>
                      <w:jc w:val="center"/>
                      <w:rPr>
                        <w:rFonts w:ascii="Georgia" w:hAnsi="Georgia"/>
                        <w:color w:val="000000" w:themeColor="text1"/>
                        <w:sz w:val="32"/>
                        <w:szCs w:val="32"/>
                      </w:rPr>
                    </w:pPr>
                    <w:r>
                      <w:rPr>
                        <w:rFonts w:ascii="Georgia" w:hAnsi="Georgia" w:cs="Times New Roman" w:eastAsiaTheme="minorEastAsia"/>
                        <w:color w:val="000000" w:themeColor="text1"/>
                        <w:sz w:val="32"/>
                        <w:szCs w:val="32"/>
                      </w:rPr>
                      <w:fldChar w:fldCharType="begin"/>
                    </w:r>
                    <w:r>
                      <w:rPr>
                        <w:rFonts w:ascii="Georgia" w:hAnsi="Georgia"/>
                        <w:color w:val="000000" w:themeColor="text1"/>
                        <w:sz w:val="32"/>
                        <w:szCs w:val="32"/>
                      </w:rPr>
                      <w:instrText xml:space="preserve">PAGE    \* MERGEFORMAT</w:instrText>
                    </w:r>
                    <w:r>
                      <w:rPr>
                        <w:rFonts w:ascii="Georgia" w:hAnsi="Georgia" w:cs="Times New Roman" w:eastAsiaTheme="minorEastAsia"/>
                        <w:color w:val="000000" w:themeColor="text1"/>
                        <w:sz w:val="32"/>
                        <w:szCs w:val="32"/>
                      </w:rPr>
                      <w:fldChar w:fldCharType="separate"/>
                    </w:r>
                    <w:r>
                      <w:rPr>
                        <w:rFonts w:ascii="Georgia" w:hAnsi="Georgia" w:eastAsiaTheme="majorEastAsia" w:cstheme="majorBidi"/>
                        <w:color w:val="000000" w:themeColor="text1"/>
                        <w:sz w:val="32"/>
                        <w:szCs w:val="32"/>
                      </w:rPr>
                      <w:t xml:space="preserve">2</w:t>
                    </w:r>
                    <w:r>
                      <w:rPr>
                        <w:rFonts w:ascii="Georgia" w:hAnsi="Georgia" w:eastAsiaTheme="majorEastAsia" w:cstheme="majorBidi"/>
                        <w:color w:val="000000" w:themeColor="text1"/>
                        <w:sz w:val="32"/>
                        <w:szCs w:val="32"/>
                      </w:rPr>
                      <w:fldChar w:fldCharType="end"/>
                    </w:r>
                    <w:r>
                      <w:rPr>
                        <w:rFonts w:ascii="Georgia" w:hAnsi="Georgia"/>
                        <w:color w:val="000000" w:themeColor="text1"/>
                        <w:sz w:val="32"/>
                        <w:szCs w:val="32"/>
                      </w:rPr>
                    </w:r>
                    <w:r>
                      <w:rPr>
                        <w:rFonts w:ascii="Georgia" w:hAnsi="Georgia"/>
                        <w:color w:val="000000" w:themeColor="text1"/>
                        <w:sz w:val="32"/>
                        <w:szCs w:val="32"/>
                      </w:rPr>
                    </w:r>
                  </w:p>
                </w:txbxContent>
              </v:textbox>
            </v:shape>
          </w:pict>
        </mc:Fallback>
      </mc:AlternateContent>
    </w:r>
    <w:r/>
    <w:r/>
  </w:p>
  <w:p w14:paraId="3B27C148">
    <w:pPr>
      <w:pStyle w:val="845"/>
      <w:pBdr/>
      <w:spacing/>
      <w:ind/>
      <w:jc w:val="left"/>
      <w:rPr>
        <w:rFonts w:ascii="Georgia" w:hAnsi="Georgia" w:cs="Georgia"/>
        <w:sz w:val="32"/>
        <w:szCs w:val="32"/>
      </w:rPr>
    </w:pPr>
    <w:fldSimple w:instr="PAGE \* MERGEFORMAT">
      <w:r>
        <w:rPr>
          <w:rFonts w:ascii="Georgia" w:hAnsi="Georgia" w:eastAsia="Georgia" w:cs="Georgia"/>
          <w:sz w:val="32"/>
          <w:szCs w:val="32"/>
        </w:rPr>
        <w:t xml:space="preserve">1</w:t>
      </w:r>
    </w:fldSimple>
    <w:r>
      <w:rPr>
        <w:rFonts w:ascii="Georgia" w:hAnsi="Georgia" w:eastAsia="Georgia" w:cs="Georgia"/>
        <w:sz w:val="32"/>
        <w:szCs w:val="32"/>
      </w:rPr>
    </w:r>
    <w:r>
      <w:rPr>
        <w:rFonts w:ascii="Georgia" w:hAnsi="Georgia" w:eastAsia="Georgia" w:cs="Georgia"/>
        <w:sz w:val="32"/>
        <w:szCs w:val="32"/>
      </w:rPr>
    </w:r>
    <w:r/>
    <w:r/>
    <w:r/>
    <w:r>
      <w:rPr>
        <w:rFonts w:ascii="Georgia" w:hAnsi="Georgia" w:cs="Georgia"/>
        <w:sz w:val="32"/>
        <w:szCs w:val="32"/>
      </w:rPr>
    </w:r>
    <w:r/>
    <w:r>
      <mc:AlternateContent>
        <mc:Choice Requires="wpg">
          <w:drawing>
            <wp:anchor xmlns:wp="http://schemas.openxmlformats.org/drawingml/2006/wordprocessingDrawing" xmlns:wp14="http://schemas.microsoft.com/office/word/2010/wordprocessingDrawing" distT="0" distB="0" distL="114300" distR="114300" simplePos="0" relativeHeight="251664384" behindDoc="1" locked="0" layoutInCell="1" allowOverlap="1">
              <wp:simplePos x="0" y="0"/>
              <wp:positionH relativeFrom="column">
                <wp:posOffset>4964430</wp:posOffset>
              </wp:positionH>
              <wp:positionV relativeFrom="paragraph">
                <wp:posOffset>96002</wp:posOffset>
              </wp:positionV>
              <wp:extent cx="871220" cy="353695"/>
              <wp:effectExtent l="0" t="0" r="0" b="0"/>
              <wp:wrapNone/>
              <wp:docPr id="3"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8159299" name="Picture 3"/>
                      <pic:cNvPicPr>
                        <a:picLocks noChangeAspect="1"/>
                      </pic:cNvPicPr>
                      <pic:nvPr/>
                    </pic:nvPicPr>
                    <pic:blipFill rotWithShape="1">
                      <a:blip r:embed="rId1"/>
                      <a:stretch/>
                    </pic:blipFill>
                    <pic:spPr bwMode="auto">
                      <a:xfrm rot="0" flipH="0" flipV="0">
                        <a:off x="0" y="0"/>
                        <a:ext cx="871219" cy="353694"/>
                      </a:xfrm>
                      <a:prstGeom prst="rect">
                        <a:avLst/>
                      </a:prstGeom>
                      <a:noFill/>
                      <a:ln>
                        <a:noFill/>
                      </a:ln>
                    </pic:spPr>
                  </pic:pic>
                </a:graphicData>
              </a:graphic>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position:absolute;z-index:-251664384;o:allowoverlap:true;o:allowincell:true;mso-position-horizontal-relative:text;margin-left:390.90pt;mso-position-horizontal:absolute;mso-position-vertical-relative:text;margin-top:7.56pt;mso-position-vertical:absolute;width:68.60pt;height:27.85pt;mso-wrap-distance-left:9.00pt;mso-wrap-distance-top:0.00pt;mso-wrap-distance-right:9.00pt;mso-wrap-distance-bottom:0.00pt;rotation:0;z-index:1;" stroked="f">
              <v:imagedata r:id="rId1" o:title=""/>
              <o:lock v:ext="edit" rotation="t"/>
            </v:shape>
          </w:pict>
        </mc:Fallback>
      </mc:AlternateContent>
    </w:r>
    <w:r>
      <mc:AlternateContent>
        <mc:Choice Requires="wpg">
          <w:drawing>
            <wp:anchor xmlns:wp="http://schemas.openxmlformats.org/drawingml/2006/wordprocessingDrawing" xmlns:wp14="http://schemas.microsoft.com/office/word/2010/wordprocessingDrawing" distT="0" distB="0" distL="114300" distR="114300" simplePos="0" relativeHeight="251663360" behindDoc="1" locked="0" layoutInCell="1" allowOverlap="1">
              <wp:simplePos x="0" y="0"/>
              <wp:positionH relativeFrom="column">
                <wp:posOffset>3930650</wp:posOffset>
              </wp:positionH>
              <wp:positionV relativeFrom="paragraph">
                <wp:posOffset>217170</wp:posOffset>
              </wp:positionV>
              <wp:extent cx="708660" cy="251460"/>
              <wp:effectExtent l="0" t="0" r="0" b="0"/>
              <wp:wrapNone/>
              <wp:docPr id="4" name="Imagem 4" descr="Creative Commons Lice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9597264" name="Picture 1" descr="Creative Commons License"/>
                      <pic:cNvPicPr>
                        <a:picLocks noChangeAspect="1"/>
                      </pic:cNvPicPr>
                      <pic:nvPr/>
                    </pic:nvPicPr>
                    <pic:blipFill rotWithShape="1">
                      <a:blip r:embed="rId2"/>
                      <a:stretch/>
                    </pic:blipFill>
                    <pic:spPr bwMode="auto">
                      <a:xfrm rot="0" flipH="0" flipV="0">
                        <a:off x="0" y="0"/>
                        <a:ext cx="708659" cy="251460"/>
                      </a:xfrm>
                      <a:prstGeom prst="rect">
                        <a:avLst/>
                      </a:prstGeom>
                      <a:noFill/>
                      <a:ln>
                        <a:noFill/>
                      </a:ln>
                    </pic:spPr>
                  </pic:pic>
                </a:graphicData>
              </a:graphic>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position:absolute;z-index:-251663360;o:allowoverlap:true;o:allowincell:true;mso-position-horizontal-relative:text;margin-left:309.50pt;mso-position-horizontal:absolute;mso-position-vertical-relative:text;margin-top:17.10pt;mso-position-vertical:absolute;width:55.80pt;height:19.80pt;mso-wrap-distance-left:9.00pt;mso-wrap-distance-top:0.00pt;mso-wrap-distance-right:9.00pt;mso-wrap-distance-bottom:0.00pt;rotation:0;z-index:1;" stroked="f">
              <v:imagedata r:id="rId2" o:title=""/>
              <o:lock v:ext="edit" rotation="t"/>
            </v:shape>
          </w:pict>
        </mc:Fallback>
      </mc:AlternateContent>
    </w:r>
    <w:r/>
    <w:r/>
    <w:r>
      <w:rPr>
        <w:rFonts w:ascii="Georgia" w:hAnsi="Georgia" w:cs="Georgia"/>
        <w:sz w:val="32"/>
        <w:szCs w:val="32"/>
      </w:rPr>
    </w:r>
  </w:p>
  <w:p w14:paraId="08400904">
    <w:pPr>
      <w:pStyle w:val="845"/>
      <w:pBdr/>
      <w:spacing/>
      <w:ind/>
      <w:rPr/>
    </w:pP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14:paraId="343A8B5F" w14:textId="77777777">
      <w:pPr>
        <w:pBdr/>
        <w:spacing w:after="0" w:line="240" w:lineRule="auto"/>
        <w:ind/>
        <w:rPr/>
      </w:pPr>
      <w:r>
        <w:separator/>
      </w:r>
      <w:r/>
    </w:p>
  </w:footnote>
  <w:footnote w:type="continuationSeparator" w:id="0">
    <w:p w14:paraId="659B1418" w14:textId="77777777">
      <w:pPr>
        <w:pBdr/>
        <w:spacing w:after="0" w:line="240" w:lineRule="auto"/>
        <w:ind/>
        <w:rPr/>
      </w:pPr>
      <w:r>
        <w:continuationSeparator/>
      </w:r>
      <w:r/>
    </w:p>
  </w:footnote>
  <w:footnote w:id="2">
    <w:p w14:paraId="75F8E2A9" w14:textId="53980464">
      <w:pPr>
        <w:pStyle w:val="849"/>
        <w:pBdr/>
        <w:spacing/>
        <w:ind/>
        <w:jc w:val="both"/>
        <w:rPr>
          <w:rFonts w:ascii="Georgia" w:hAnsi="Georgia"/>
        </w:rPr>
      </w:pPr>
      <w:r>
        <w:rPr>
          <w:rStyle w:val="851"/>
          <w:rFonts w:ascii="Georgia" w:hAnsi="Georgia"/>
        </w:rPr>
        <w:footnoteRef/>
      </w:r>
      <w:r>
        <w:rPr>
          <w:rFonts w:ascii="Georgia" w:hAnsi="Georgia"/>
        </w:rPr>
        <w:t xml:space="preserve"> O conceito de </w:t>
      </w:r>
      <w:r>
        <w:rPr>
          <w:rFonts w:ascii="Georgia" w:hAnsi="Georgia"/>
          <w:i/>
          <w:iCs/>
        </w:rPr>
        <w:t xml:space="preserve">cidade média</w:t>
      </w:r>
      <w:r>
        <w:rPr>
          <w:rFonts w:ascii="Georgia" w:hAnsi="Georgia"/>
        </w:rPr>
        <w:t xml:space="preserve"> consolida-se a partir da década de 1960</w:t>
      </w:r>
      <w:r>
        <w:rPr>
          <w:rFonts w:ascii="Georgia" w:hAnsi="Georgia"/>
        </w:rPr>
        <w:t xml:space="preserve">; assim, </w:t>
      </w:r>
      <w:r>
        <w:rPr>
          <w:rFonts w:ascii="Georgia" w:hAnsi="Georgia"/>
        </w:rPr>
        <w:t xml:space="preserve">preferiu-se aqui, </w:t>
      </w:r>
      <w:r>
        <w:rPr>
          <w:rFonts w:ascii="Georgia" w:hAnsi="Georgia"/>
        </w:rPr>
        <w:t xml:space="preserve">adot</w:t>
      </w:r>
      <w:r>
        <w:rPr>
          <w:rFonts w:ascii="Georgia" w:hAnsi="Georgia"/>
        </w:rPr>
        <w:t xml:space="preserve">ar para o período anterior a este, a terminologia </w:t>
      </w:r>
      <w:r>
        <w:rPr>
          <w:rFonts w:ascii="Georgia" w:hAnsi="Georgia"/>
          <w:i/>
          <w:iCs/>
        </w:rPr>
        <w:t xml:space="preserve">centro </w:t>
      </w:r>
      <w:r>
        <w:rPr>
          <w:rFonts w:ascii="Georgia" w:hAnsi="Georgia"/>
          <w:i/>
          <w:iCs/>
        </w:rPr>
        <w:t xml:space="preserve">subregional</w:t>
      </w:r>
      <w:r>
        <w:rPr>
          <w:rFonts w:ascii="Georgia" w:hAnsi="Georgia"/>
        </w:rPr>
        <w:t xml:space="preserve"> </w:t>
      </w:r>
      <w:r>
        <w:rPr>
          <w:rFonts w:ascii="Georgia" w:hAnsi="Georgia"/>
        </w:rPr>
        <w:t xml:space="preserve">conforme</w:t>
      </w:r>
      <w:r>
        <w:rPr>
          <w:rFonts w:ascii="Georgia" w:hAnsi="Georgia"/>
        </w:rPr>
        <w:t xml:space="preserve"> Pedro Geiger (1963),</w:t>
      </w:r>
      <w:r>
        <w:rPr>
          <w:rFonts w:ascii="Georgia" w:hAnsi="Georgia"/>
        </w:rPr>
        <w:t xml:space="preserve"> em</w:t>
      </w:r>
      <w:r>
        <w:rPr>
          <w:rFonts w:ascii="Georgia" w:hAnsi="Georgia"/>
        </w:rPr>
        <w:t xml:space="preserve"> </w:t>
      </w:r>
      <w:r>
        <w:rPr>
          <w:rFonts w:ascii="Georgia" w:hAnsi="Georgia"/>
        </w:rPr>
        <w:t xml:space="preserve">e</w:t>
      </w:r>
      <w:r>
        <w:rPr>
          <w:rFonts w:ascii="Georgia" w:hAnsi="Georgia"/>
        </w:rPr>
        <w:t xml:space="preserve">studos sobre a rede urbana brasileira na década de 1950.</w:t>
      </w:r>
      <w:r>
        <w:rPr>
          <w:rFonts w:ascii="Georgia" w:hAnsi="Georgia"/>
        </w:rPr>
      </w:r>
    </w:p>
  </w:footnote>
  <w:footnote w:id="3">
    <w:p w14:paraId="681C717E" w14:textId="77777777">
      <w:pPr>
        <w:pBdr/>
        <w:spacing w:after="0"/>
        <w:ind/>
        <w:jc w:val="both"/>
        <w:rPr>
          <w:rFonts w:ascii="Georgia" w:hAnsi="Georgia"/>
          <w:sz w:val="20"/>
          <w:szCs w:val="20"/>
        </w:rPr>
      </w:pPr>
      <w:r>
        <w:rPr>
          <w:rStyle w:val="851"/>
          <w:rFonts w:ascii="Georgia" w:hAnsi="Georgia"/>
          <w:sz w:val="20"/>
          <w:szCs w:val="20"/>
        </w:rPr>
        <w:footnoteRef/>
      </w:r>
      <w:r>
        <w:rPr>
          <w:rFonts w:ascii="Georgia" w:hAnsi="Georgia"/>
          <w:sz w:val="20"/>
          <w:szCs w:val="20"/>
        </w:rPr>
        <w:t xml:space="preserve"> </w:t>
      </w:r>
      <w:r>
        <w:rPr>
          <w:rFonts w:ascii="Georgia" w:hAnsi="Georgia"/>
          <w:sz w:val="20"/>
          <w:szCs w:val="20"/>
        </w:rPr>
        <w:t xml:space="preserve">Não estão disponíveis os dados dos demais municípios da RGI de Alfenas. Referente ao produto café: “mesmo torrado ou descafeinado; cascas e películas de café; sucedâneos do café contendo café em qualquer proporção” (</w:t>
      </w:r>
      <w:hyperlink r:id="rId1" w:tooltip="https://www.gov.br/mdic/pt-br/assuntos/comercio-exterior" w:history="1">
        <w:r>
          <w:rPr>
            <w:rStyle w:val="847"/>
            <w:rFonts w:ascii="Georgia" w:hAnsi="Georgia"/>
            <w:color w:val="auto"/>
            <w:sz w:val="20"/>
            <w:szCs w:val="20"/>
            <w:u w:val="none"/>
          </w:rPr>
          <w:t xml:space="preserve">Secretaria de Comércio Exterior - SECEX</w:t>
        </w:r>
      </w:hyperlink>
      <w:r>
        <w:rPr>
          <w:rFonts w:ascii="Georgia" w:hAnsi="Georgia"/>
          <w:sz w:val="20"/>
          <w:szCs w:val="20"/>
        </w:rPr>
        <w:t xml:space="preserve">, 2025).</w:t>
      </w:r>
      <w:r>
        <w:rPr>
          <w:rFonts w:ascii="Georgia" w:hAnsi="Georgia"/>
          <w:sz w:val="20"/>
          <w:szCs w:val="20"/>
        </w:rP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607D726D" w14:textId="460A521F">
    <w:pPr>
      <w:pStyle w:val="843"/>
      <w:pBdr/>
      <w:spacing/>
      <w:ind w:left="3402"/>
      <w:jc w:val="left"/>
      <w:rPr>
        <w:rFonts w:ascii="Georgia" w:hAnsi="Georgia"/>
        <w:color w:val="975ccb"/>
        <w:sz w:val="18"/>
        <w:szCs w:val="18"/>
      </w:rPr>
    </w:pPr>
    <w:r>
      <mc:AlternateContent>
        <mc:Choice Requires="wpg">
          <w:drawing>
            <wp:anchor xmlns:wp="http://schemas.openxmlformats.org/drawingml/2006/wordprocessingDrawing" xmlns:wp14="http://schemas.microsoft.com/office/word/2010/wordprocessingDrawing" distT="0" distB="0" distL="114300" distR="114300" simplePos="0" relativeHeight="251665408" behindDoc="0" locked="0" layoutInCell="1" allowOverlap="1">
              <wp:simplePos x="0" y="0"/>
              <wp:positionH relativeFrom="column">
                <wp:posOffset>-812800</wp:posOffset>
              </wp:positionH>
              <wp:positionV relativeFrom="paragraph">
                <wp:posOffset>-189865</wp:posOffset>
              </wp:positionV>
              <wp:extent cx="2689808" cy="640080"/>
              <wp:effectExtent l="0" t="0" r="0" b="7620"/>
              <wp:wrapNone/>
              <wp:docPr id="1"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006091" name="Imagem 188006091"/>
                      <pic:cNvPicPr>
                        <a:picLocks noChangeAspect="1"/>
                      </pic:cNvPicPr>
                      <pic:nvPr/>
                    </pic:nvPicPr>
                    <pic:blipFill rotWithShape="1">
                      <a:blip r:embed="rId1"/>
                      <a:stretch/>
                    </pic:blipFill>
                    <pic:spPr bwMode="auto">
                      <a:xfrm>
                        <a:off x="0" y="0"/>
                        <a:ext cx="2689808" cy="640080"/>
                      </a:xfrm>
                      <a:prstGeom prst="rect">
                        <a:avLst/>
                      </a:prstGeom>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0" o:spid="_x0000_s0" type="#_x0000_t75" style="position:absolute;z-index:251665408;o:allowoverlap:true;o:allowincell:true;mso-position-horizontal-relative:text;margin-left:-64.00pt;mso-position-horizontal:absolute;mso-position-vertical-relative:text;margin-top:-14.95pt;mso-position-vertical:absolute;width:211.80pt;height:50.40pt;mso-wrap-distance-left:9.00pt;mso-wrap-distance-top:0.00pt;mso-wrap-distance-right:9.00pt;mso-wrap-distance-bottom:0.00pt;z-index:1;" stroked="false">
              <v:imagedata r:id="rId1" o:title=""/>
              <o:lock v:ext="edit" rotation="t"/>
            </v:shape>
          </w:pict>
        </mc:Fallback>
      </mc:AlternateContent>
    </w:r>
    <w:r>
      <w:tab/>
    </w:r>
    <w:r>
      <w:rPr>
        <w:rFonts w:ascii="Georgia" w:hAnsi="Georgia"/>
        <w:color w:val="975ccb"/>
        <w:sz w:val="18"/>
        <w:szCs w:val="18"/>
      </w:rPr>
      <w:t xml:space="preserve">Boletim Alfenense de Geografia, Alfenas, Brasil, </w:t>
    </w:r>
    <w:r>
      <w:rPr>
        <w:rFonts w:ascii="Georgia" w:hAnsi="Georgia"/>
        <w:color w:val="975ccb"/>
        <w:sz w:val="18"/>
        <w:szCs w:val="18"/>
      </w:rPr>
      <w:t xml:space="preserve">v.6</w:t>
    </w:r>
    <w:r>
      <w:rPr>
        <w:rFonts w:ascii="Georgia" w:hAnsi="Georgia"/>
        <w:color w:val="975ccb"/>
        <w:sz w:val="18"/>
        <w:szCs w:val="18"/>
      </w:rPr>
      <w:t xml:space="preserve">, </w:t>
    </w:r>
    <w:r>
      <w:rPr>
        <w:rFonts w:ascii="Georgia" w:hAnsi="Georgia"/>
        <w:color w:val="975ccb"/>
        <w:sz w:val="18"/>
        <w:szCs w:val="18"/>
      </w:rPr>
      <w:t xml:space="preserve">n.11</w:t>
    </w:r>
    <w:r>
      <w:rPr>
        <w:rFonts w:ascii="Georgia" w:hAnsi="Georgia"/>
        <w:color w:val="975ccb"/>
        <w:sz w:val="18"/>
        <w:szCs w:val="18"/>
      </w:rPr>
      <w:t xml:space="preserve">, 2026</w:t>
    </w:r>
    <w:r>
      <w:rPr>
        <w:rFonts w:ascii="Georgia" w:hAnsi="Georgia"/>
        <w:color w:val="975ccb"/>
        <w:sz w:val="18"/>
        <w:szCs w:val="18"/>
      </w:rPr>
    </w:r>
  </w:p>
  <w:p w14:paraId="40A6A34B" w14:textId="45E5F3C8">
    <w:pPr>
      <w:pStyle w:val="843"/>
      <w:pBdr/>
      <w:spacing/>
      <w:ind w:left="3402"/>
      <w:jc w:val="center"/>
      <w:rPr>
        <w:rFonts w:ascii="Georgia" w:hAnsi="Georgia"/>
        <w:color w:val="975ccb"/>
        <w:sz w:val="18"/>
        <w:szCs w:val="18"/>
      </w:rPr>
    </w:pPr>
    <w:r>
      <w:rPr>
        <w:rFonts w:ascii="Georgia" w:hAnsi="Georgia"/>
        <w:color w:val="975ccb"/>
        <w:sz w:val="18"/>
        <w:szCs w:val="18"/>
      </w:rPr>
      <w:t xml:space="preserve">                                                                                          p.425-451</w:t>
    </w:r>
    <w:r>
      <w:rPr>
        <w:rFonts w:ascii="Georgia" w:hAnsi="Georgia"/>
        <w:color w:val="975ccb"/>
        <w:sz w:val="18"/>
        <w:szCs w:val="18"/>
      </w:rPr>
    </w:r>
  </w:p>
  <w:p w14:paraId="2BFAADA6" w14:textId="0E2996FE">
    <w:pPr>
      <w:pStyle w:val="843"/>
      <w:pBdr/>
      <w:spacing/>
      <w:ind w:left="3402"/>
      <w:jc w:val="left"/>
      <w:rPr>
        <w:rFonts w:ascii="Georgia" w:hAnsi="Georgia"/>
        <w:color w:val="975ccb"/>
        <w:sz w:val="18"/>
        <w:szCs w:val="18"/>
      </w:rPr>
    </w:pPr>
    <w:r>
      <w:rPr>
        <w:rFonts w:ascii="Georgia" w:hAnsi="Georgia"/>
        <w:color w:val="975ccb"/>
        <w:sz w:val="18"/>
        <w:szCs w:val="18"/>
      </w:rPr>
      <w:t xml:space="preserve">ISSN: 2764-1422</w:t>
    </w:r>
    <w:r>
      <w:rPr>
        <w:rFonts w:ascii="Georgia" w:hAnsi="Georgia"/>
        <w:color w:val="975ccb"/>
        <w:sz w:val="18"/>
        <w:szCs w:val="18"/>
      </w:rPr>
      <w:t xml:space="preserve">  </w:t>
    </w:r>
    <w:r>
      <w:rPr>
        <w:rFonts w:ascii="Georgia" w:hAnsi="Georgia"/>
        <w:color w:val="975ccb"/>
        <w:sz w:val="18"/>
        <w:szCs w:val="18"/>
      </w:rPr>
      <w:t xml:space="preserve">DOI: </w:t>
    </w:r>
    <w:hyperlink r:id="rId2" w:tooltip="https://doi.org/10.29327/243949" w:history="1">
      <w:r>
        <w:rPr>
          <w:rStyle w:val="847"/>
          <w:rFonts w:ascii="Georgia" w:hAnsi="Georgia"/>
          <w:color w:val="975ccb"/>
          <w:sz w:val="18"/>
          <w:szCs w:val="18"/>
        </w:rPr>
        <w:t xml:space="preserve">https://doi.org/10.29327/243949.6.11-25</w:t>
      </w:r>
    </w:hyperlink>
    <w:r>
      <w:rPr>
        <w:rFonts w:ascii="Georgia" w:hAnsi="Georgia"/>
        <w:color w:val="975ccb"/>
        <w:sz w:val="18"/>
        <w:szCs w:val="18"/>
      </w:rPr>
    </w:r>
    <w:r>
      <w:rPr>
        <w:rFonts w:ascii="Georgia" w:hAnsi="Georgia"/>
        <w:color w:val="975ccb"/>
        <w:sz w:val="18"/>
        <w:szCs w:val="18"/>
      </w:rPr>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hyphenationZone w:val="425"/>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pt-BR" w:eastAsia="en-US" w:bidi="ar-SA"/>
      </w:rPr>
    </w:rPrDefault>
    <w:pPrDefault>
      <w:pPr>
        <w:pBdr/>
        <w:spacing w:after="160" w:afterAutospacing="0" w:before="0" w:beforeAutospacing="0" w:line="259"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13">
    <w:name w:val="Table Grid Light"/>
    <w:basedOn w:val="841"/>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
    <w:name w:val="Plain Table 1"/>
    <w:basedOn w:val="841"/>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
    <w:name w:val="Plain Table 2"/>
    <w:basedOn w:val="841"/>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
    <w:name w:val="Plain Table 3"/>
    <w:basedOn w:val="84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
    <w:name w:val="Plain Table 4"/>
    <w:basedOn w:val="84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8">
    <w:name w:val="Plain Table 5"/>
    <w:basedOn w:val="84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9">
    <w:name w:val="Grid Table 1 Light"/>
    <w:basedOn w:val="841"/>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0">
    <w:name w:val="Grid Table 1 Light - Accent 1"/>
    <w:basedOn w:val="841"/>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1">
    <w:name w:val="Grid Table 1 Light - Accent 2"/>
    <w:basedOn w:val="841"/>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2">
    <w:name w:val="Grid Table 1 Light - Accent 3"/>
    <w:basedOn w:val="841"/>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3">
    <w:name w:val="Grid Table 1 Light - Accent 4"/>
    <w:basedOn w:val="841"/>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4">
    <w:name w:val="Grid Table 1 Light - Accent 5"/>
    <w:basedOn w:val="841"/>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5">
    <w:name w:val="Grid Table 1 Light - Accent 6"/>
    <w:basedOn w:val="841"/>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6">
    <w:name w:val="Grid Table 2"/>
    <w:basedOn w:val="841"/>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7">
    <w:name w:val="Grid Table 2 - Accent 1"/>
    <w:basedOn w:val="841"/>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7e7f1"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7e7f1"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8">
    <w:name w:val="Grid Table 2 - Accent 2"/>
    <w:basedOn w:val="841"/>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1f5d0"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1f5d0"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9">
    <w:name w:val="Grid Table 2 - Accent 3"/>
    <w:basedOn w:val="841"/>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ffe9c9"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ffe9c9"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0">
    <w:name w:val="Grid Table 2 - Accent 4"/>
    <w:basedOn w:val="841"/>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6e6e6"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6e6e6"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1">
    <w:name w:val="Grid Table 2 - Accent 5"/>
    <w:basedOn w:val="841"/>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fff3cc"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fff3cc"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2">
    <w:name w:val="Grid Table 2 - Accent 6"/>
    <w:basedOn w:val="841"/>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8dcd3"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8dcd3"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3">
    <w:name w:val="Grid Table 3"/>
    <w:basedOn w:val="841"/>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4">
    <w:name w:val="Grid Table 3 - Accent 1"/>
    <w:basedOn w:val="841"/>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7e7f1"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7e7f1"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5">
    <w:name w:val="Grid Table 3 - Accent 2"/>
    <w:basedOn w:val="841"/>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1f5d0"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1f5d0"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6">
    <w:name w:val="Grid Table 3 - Accent 3"/>
    <w:basedOn w:val="841"/>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ffe9c9"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ffe9c9"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7">
    <w:name w:val="Grid Table 3 - Accent 4"/>
    <w:basedOn w:val="841"/>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6e6e6"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6e6e6"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8">
    <w:name w:val="Grid Table 3 - Accent 5"/>
    <w:basedOn w:val="841"/>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fff3cc"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fff3cc"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9">
    <w:name w:val="Grid Table 3 - Accent 6"/>
    <w:basedOn w:val="841"/>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8dcd3"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8dcd3"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0">
    <w:name w:val="Grid Table 4"/>
    <w:basedOn w:val="841"/>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1">
    <w:name w:val="Grid Table 4 - Accent 1"/>
    <w:basedOn w:val="841"/>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9e8f1"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9e8f1"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4c95be"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2">
    <w:name w:val="Grid Table 4 - Accent 2"/>
    <w:basedOn w:val="841"/>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1f5d0"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1f5d0"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4e172"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3">
    <w:name w:val="Grid Table 4 - Accent 3"/>
    <w:basedOn w:val="841"/>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ffe9c9"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ffe9c9"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f79300"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4">
    <w:name w:val="Grid Table 4 - Accent 4"/>
    <w:basedOn w:val="841"/>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6e6e6"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6e6e6"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4b4b4"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5">
    <w:name w:val="Grid Table 4 - Accent 5"/>
    <w:basedOn w:val="841"/>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fff3cc"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fff3cc"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fec30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6">
    <w:name w:val="Grid Table 4 - Accent 6"/>
    <w:basedOn w:val="841"/>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8dcd3"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8dcd3"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df5327"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7">
    <w:name w:val="Grid Table 5 Dark"/>
    <w:basedOn w:val="84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8">
    <w:name w:val="Grid Table 5 Dark- Accent 1"/>
    <w:basedOn w:val="84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7e7f1" w:themeFill="accent1" w:themeFillTint="34"/>
    </w:tblPr>
    <w:tcPr>
      <w:tcBorders/>
    </w:tcPr>
    <w:tblStylePr w:type="band1Horz">
      <w:pPr>
        <w:pBdr/>
        <w:spacing/>
        <w:ind/>
      </w:pPr>
      <w:tblPr>
        <w:tblBorders/>
      </w:tblPr>
      <w:tcPr>
        <w:shd w:val="clear" w:color="ffffff" w:themeColor="accent1" w:themeTint="75" w:fill="a5cade" w:themeFill="accent1" w:themeFillTint="75"/>
        <w:tcBorders/>
      </w:tcPr>
    </w:tblStylePr>
    <w:tblStylePr w:type="band1Vert">
      <w:pPr>
        <w:pBdr/>
        <w:spacing/>
        <w:ind/>
      </w:pPr>
      <w:tblPr>
        <w:tblBorders/>
      </w:tblPr>
      <w:tcPr>
        <w:shd w:val="clear" w:color="ffffff" w:themeColor="accent1" w:themeTint="75" w:fill="a5cade"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18ab3" w:themeFill="accent1"/>
        <w:tcBorders/>
      </w:tcPr>
    </w:tblStylePr>
    <w:tblStylePr w:type="firstRow">
      <w:rPr>
        <w:rFonts w:ascii="Arial" w:hAnsi="Arial"/>
        <w:b/>
        <w:color w:val="ffffff"/>
        <w:sz w:val="22"/>
      </w:rPr>
      <w:pPr>
        <w:pBdr/>
        <w:spacing/>
        <w:ind/>
      </w:pPr>
      <w:tblPr>
        <w:tblBorders/>
      </w:tblPr>
      <w:tcPr>
        <w:shd w:val="clear" w:color="ffffff" w:themeColor="accent1" w:fill="418ab3" w:themeFill="accent1"/>
        <w:tcBorders/>
      </w:tcPr>
    </w:tblStylePr>
    <w:tblStylePr w:type="lastCol">
      <w:rPr>
        <w:rFonts w:ascii="Arial" w:hAnsi="Arial"/>
        <w:b/>
        <w:color w:val="ffffff"/>
        <w:sz w:val="22"/>
      </w:rPr>
      <w:pPr>
        <w:pBdr/>
        <w:spacing/>
        <w:ind/>
      </w:pPr>
      <w:tblPr>
        <w:tblBorders/>
      </w:tblPr>
      <w:tcPr>
        <w:shd w:val="clear" w:color="ffffff" w:themeColor="accent1" w:fill="418ab3" w:themeFill="accent1"/>
        <w:tcBorders/>
      </w:tcPr>
    </w:tblStylePr>
    <w:tblStylePr w:type="lastRow">
      <w:rPr>
        <w:rFonts w:ascii="Arial" w:hAnsi="Arial"/>
        <w:b/>
        <w:color w:val="ffffff"/>
        <w:sz w:val="22"/>
      </w:rPr>
      <w:pPr>
        <w:pBdr/>
        <w:spacing/>
        <w:ind/>
      </w:pPr>
      <w:tblPr>
        <w:tblBorders/>
      </w:tblPr>
      <w:tcPr>
        <w:shd w:val="clear" w:color="ffffff" w:themeColor="accent1" w:fill="418ab3"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9">
    <w:name w:val="Grid Table 5 Dark - Accent 2"/>
    <w:basedOn w:val="84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1f5d0" w:themeFill="accent2" w:themeFillTint="32"/>
    </w:tblPr>
    <w:tcPr>
      <w:tcBorders/>
    </w:tcPr>
    <w:tblStylePr w:type="band1Horz">
      <w:pPr>
        <w:pBdr/>
        <w:spacing/>
        <w:ind/>
      </w:pPr>
      <w:tblPr>
        <w:tblBorders/>
      </w:tblPr>
      <w:tcPr>
        <w:shd w:val="clear" w:color="ffffff" w:themeColor="accent2" w:themeTint="75" w:fill="dee892" w:themeFill="accent2" w:themeFillTint="75"/>
        <w:tcBorders/>
      </w:tcPr>
    </w:tblStylePr>
    <w:tblStylePr w:type="band1Vert">
      <w:pPr>
        <w:pBdr/>
        <w:spacing/>
        <w:ind/>
      </w:pPr>
      <w:tblPr>
        <w:tblBorders/>
      </w:tblPr>
      <w:tcPr>
        <w:shd w:val="clear" w:color="ffffff" w:themeColor="accent2" w:themeTint="75" w:fill="dee892"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a6b727" w:themeFill="accent2"/>
        <w:tcBorders/>
      </w:tcPr>
    </w:tblStylePr>
    <w:tblStylePr w:type="firstRow">
      <w:rPr>
        <w:rFonts w:ascii="Arial" w:hAnsi="Arial"/>
        <w:b/>
        <w:color w:val="ffffff"/>
        <w:sz w:val="22"/>
      </w:rPr>
      <w:pPr>
        <w:pBdr/>
        <w:spacing/>
        <w:ind/>
      </w:pPr>
      <w:tblPr>
        <w:tblBorders/>
      </w:tblPr>
      <w:tcPr>
        <w:shd w:val="clear" w:color="ffffff" w:themeColor="accent2" w:fill="a6b727" w:themeFill="accent2"/>
        <w:tcBorders/>
      </w:tcPr>
    </w:tblStylePr>
    <w:tblStylePr w:type="lastCol">
      <w:rPr>
        <w:rFonts w:ascii="Arial" w:hAnsi="Arial"/>
        <w:b/>
        <w:color w:val="ffffff"/>
        <w:sz w:val="22"/>
      </w:rPr>
      <w:pPr>
        <w:pBdr/>
        <w:spacing/>
        <w:ind/>
      </w:pPr>
      <w:tblPr>
        <w:tblBorders/>
      </w:tblPr>
      <w:tcPr>
        <w:shd w:val="clear" w:color="ffffff" w:themeColor="accent2" w:fill="a6b727" w:themeFill="accent2"/>
        <w:tcBorders/>
      </w:tcPr>
    </w:tblStylePr>
    <w:tblStylePr w:type="lastRow">
      <w:rPr>
        <w:rFonts w:ascii="Arial" w:hAnsi="Arial"/>
        <w:b/>
        <w:color w:val="ffffff"/>
        <w:sz w:val="22"/>
      </w:rPr>
      <w:pPr>
        <w:pBdr/>
        <w:spacing/>
        <w:ind/>
      </w:pPr>
      <w:tblPr>
        <w:tblBorders/>
      </w:tblPr>
      <w:tcPr>
        <w:shd w:val="clear" w:color="ffffff" w:themeColor="accent2" w:fill="a6b727"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0">
    <w:name w:val="Grid Table 5 Dark - Accent 3"/>
    <w:basedOn w:val="84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ffe9c9" w:themeFill="accent3" w:themeFillTint="34"/>
    </w:tblPr>
    <w:tcPr>
      <w:tcBorders/>
    </w:tcPr>
    <w:tblStylePr w:type="band1Horz">
      <w:pPr>
        <w:pBdr/>
        <w:spacing/>
        <w:ind/>
      </w:pPr>
      <w:tblPr>
        <w:tblBorders/>
      </w:tblPr>
      <w:tcPr>
        <w:shd w:val="clear" w:color="ffffff" w:themeColor="accent3" w:themeTint="75" w:fill="ffce86" w:themeFill="accent3" w:themeFillTint="75"/>
        <w:tcBorders/>
      </w:tcPr>
    </w:tblStylePr>
    <w:tblStylePr w:type="band1Vert">
      <w:pPr>
        <w:pBdr/>
        <w:spacing/>
        <w:ind/>
      </w:pPr>
      <w:tblPr>
        <w:tblBorders/>
      </w:tblPr>
      <w:tcPr>
        <w:shd w:val="clear" w:color="ffffff" w:themeColor="accent3" w:themeTint="75" w:fill="ffce86"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f69200" w:themeFill="accent3"/>
        <w:tcBorders/>
      </w:tcPr>
    </w:tblStylePr>
    <w:tblStylePr w:type="firstRow">
      <w:rPr>
        <w:rFonts w:ascii="Arial" w:hAnsi="Arial"/>
        <w:b/>
        <w:color w:val="ffffff"/>
        <w:sz w:val="22"/>
      </w:rPr>
      <w:pPr>
        <w:pBdr/>
        <w:spacing/>
        <w:ind/>
      </w:pPr>
      <w:tblPr>
        <w:tblBorders/>
      </w:tblPr>
      <w:tcPr>
        <w:shd w:val="clear" w:color="ffffff" w:themeColor="accent3" w:fill="f69200" w:themeFill="accent3"/>
        <w:tcBorders/>
      </w:tcPr>
    </w:tblStylePr>
    <w:tblStylePr w:type="lastCol">
      <w:rPr>
        <w:rFonts w:ascii="Arial" w:hAnsi="Arial"/>
        <w:b/>
        <w:color w:val="ffffff"/>
        <w:sz w:val="22"/>
      </w:rPr>
      <w:pPr>
        <w:pBdr/>
        <w:spacing/>
        <w:ind/>
      </w:pPr>
      <w:tblPr>
        <w:tblBorders/>
      </w:tblPr>
      <w:tcPr>
        <w:shd w:val="clear" w:color="ffffff" w:themeColor="accent3" w:fill="f69200" w:themeFill="accent3"/>
        <w:tcBorders/>
      </w:tcPr>
    </w:tblStylePr>
    <w:tblStylePr w:type="lastRow">
      <w:rPr>
        <w:rFonts w:ascii="Arial" w:hAnsi="Arial"/>
        <w:b/>
        <w:color w:val="ffffff"/>
        <w:sz w:val="22"/>
      </w:rPr>
      <w:pPr>
        <w:pBdr/>
        <w:spacing/>
        <w:ind/>
      </w:pPr>
      <w:tblPr>
        <w:tblBorders/>
      </w:tblPr>
      <w:tcPr>
        <w:shd w:val="clear" w:color="ffffff" w:themeColor="accent3" w:fill="f69200"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1">
    <w:name w:val="Grid Table 5 Dark- Accent 4"/>
    <w:basedOn w:val="84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6e6e6" w:themeFill="accent4" w:themeFillTint="34"/>
    </w:tblPr>
    <w:tcPr>
      <w:tcBorders/>
    </w:tcPr>
    <w:tblStylePr w:type="band1Horz">
      <w:pPr>
        <w:pBdr/>
        <w:spacing/>
        <w:ind/>
      </w:pPr>
      <w:tblPr>
        <w:tblBorders/>
      </w:tblPr>
      <w:tcPr>
        <w:shd w:val="clear" w:color="ffffff" w:themeColor="accent4" w:themeTint="75" w:fill="c6c6c6" w:themeFill="accent4" w:themeFillTint="75"/>
        <w:tcBorders/>
      </w:tcPr>
    </w:tblStylePr>
    <w:tblStylePr w:type="band1Vert">
      <w:pPr>
        <w:pBdr/>
        <w:spacing/>
        <w:ind/>
      </w:pPr>
      <w:tblPr>
        <w:tblBorders/>
      </w:tblPr>
      <w:tcPr>
        <w:shd w:val="clear" w:color="ffffff" w:themeColor="accent4" w:themeTint="75" w:fill="c6c6c6"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38383" w:themeFill="accent4"/>
        <w:tcBorders/>
      </w:tcPr>
    </w:tblStylePr>
    <w:tblStylePr w:type="firstRow">
      <w:rPr>
        <w:rFonts w:ascii="Arial" w:hAnsi="Arial"/>
        <w:b/>
        <w:color w:val="ffffff"/>
        <w:sz w:val="22"/>
      </w:rPr>
      <w:pPr>
        <w:pBdr/>
        <w:spacing/>
        <w:ind/>
      </w:pPr>
      <w:tblPr>
        <w:tblBorders/>
      </w:tblPr>
      <w:tcPr>
        <w:shd w:val="clear" w:color="ffffff" w:themeColor="accent4" w:fill="838383" w:themeFill="accent4"/>
        <w:tcBorders/>
      </w:tcPr>
    </w:tblStylePr>
    <w:tblStylePr w:type="lastCol">
      <w:rPr>
        <w:rFonts w:ascii="Arial" w:hAnsi="Arial"/>
        <w:b/>
        <w:color w:val="ffffff"/>
        <w:sz w:val="22"/>
      </w:rPr>
      <w:pPr>
        <w:pBdr/>
        <w:spacing/>
        <w:ind/>
      </w:pPr>
      <w:tblPr>
        <w:tblBorders/>
      </w:tblPr>
      <w:tcPr>
        <w:shd w:val="clear" w:color="ffffff" w:themeColor="accent4" w:fill="838383" w:themeFill="accent4"/>
        <w:tcBorders/>
      </w:tcPr>
    </w:tblStylePr>
    <w:tblStylePr w:type="lastRow">
      <w:rPr>
        <w:rFonts w:ascii="Arial" w:hAnsi="Arial"/>
        <w:b/>
        <w:color w:val="ffffff"/>
        <w:sz w:val="22"/>
      </w:rPr>
      <w:pPr>
        <w:pBdr/>
        <w:spacing/>
        <w:ind/>
      </w:pPr>
      <w:tblPr>
        <w:tblBorders/>
      </w:tblPr>
      <w:tcPr>
        <w:shd w:val="clear" w:color="ffffff" w:themeColor="accent4" w:fill="838383"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2">
    <w:name w:val="Grid Table 5 Dark - Accent 5"/>
    <w:basedOn w:val="84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fff3cc" w:themeFill="accent5" w:themeFillTint="34"/>
    </w:tblPr>
    <w:tcPr>
      <w:tcBorders/>
    </w:tcPr>
    <w:tblStylePr w:type="band1Horz">
      <w:pPr>
        <w:pBdr/>
        <w:spacing/>
        <w:ind/>
      </w:pPr>
      <w:tblPr>
        <w:tblBorders/>
      </w:tblPr>
      <w:tcPr>
        <w:shd w:val="clear" w:color="ffffff" w:themeColor="accent5" w:themeTint="75" w:fill="ffe38d" w:themeFill="accent5" w:themeFillTint="75"/>
        <w:tcBorders/>
      </w:tcPr>
    </w:tblStylePr>
    <w:tblStylePr w:type="band1Vert">
      <w:pPr>
        <w:pBdr/>
        <w:spacing/>
        <w:ind/>
      </w:pPr>
      <w:tblPr>
        <w:tblBorders/>
      </w:tblPr>
      <w:tcPr>
        <w:shd w:val="clear" w:color="ffffff" w:themeColor="accent5" w:themeTint="75" w:fill="ffe38d"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fec306" w:themeFill="accent5"/>
        <w:tcBorders/>
      </w:tcPr>
    </w:tblStylePr>
    <w:tblStylePr w:type="firstRow">
      <w:rPr>
        <w:rFonts w:ascii="Arial" w:hAnsi="Arial"/>
        <w:b/>
        <w:color w:val="ffffff"/>
        <w:sz w:val="22"/>
      </w:rPr>
      <w:pPr>
        <w:pBdr/>
        <w:spacing/>
        <w:ind/>
      </w:pPr>
      <w:tblPr>
        <w:tblBorders/>
      </w:tblPr>
      <w:tcPr>
        <w:shd w:val="clear" w:color="ffffff" w:themeColor="accent5" w:fill="fec306" w:themeFill="accent5"/>
        <w:tcBorders/>
      </w:tcPr>
    </w:tblStylePr>
    <w:tblStylePr w:type="lastCol">
      <w:rPr>
        <w:rFonts w:ascii="Arial" w:hAnsi="Arial"/>
        <w:b/>
        <w:color w:val="ffffff"/>
        <w:sz w:val="22"/>
      </w:rPr>
      <w:pPr>
        <w:pBdr/>
        <w:spacing/>
        <w:ind/>
      </w:pPr>
      <w:tblPr>
        <w:tblBorders/>
      </w:tblPr>
      <w:tcPr>
        <w:shd w:val="clear" w:color="ffffff" w:themeColor="accent5" w:fill="fec306" w:themeFill="accent5"/>
        <w:tcBorders/>
      </w:tcPr>
    </w:tblStylePr>
    <w:tblStylePr w:type="lastRow">
      <w:rPr>
        <w:rFonts w:ascii="Arial" w:hAnsi="Arial"/>
        <w:b/>
        <w:color w:val="ffffff"/>
        <w:sz w:val="22"/>
      </w:rPr>
      <w:pPr>
        <w:pBdr/>
        <w:spacing/>
        <w:ind/>
      </w:pPr>
      <w:tblPr>
        <w:tblBorders/>
      </w:tblPr>
      <w:tcPr>
        <w:shd w:val="clear" w:color="ffffff" w:themeColor="accent5" w:fill="fec30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3">
    <w:name w:val="Grid Table 5 Dark - Accent 6"/>
    <w:basedOn w:val="84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8dcd3" w:themeFill="accent6" w:themeFillTint="34"/>
    </w:tblPr>
    <w:tcPr>
      <w:tcBorders/>
    </w:tcPr>
    <w:tblStylePr w:type="band1Horz">
      <w:pPr>
        <w:pBdr/>
        <w:spacing/>
        <w:ind/>
      </w:pPr>
      <w:tblPr>
        <w:tblBorders/>
      </w:tblPr>
      <w:tcPr>
        <w:shd w:val="clear" w:color="ffffff" w:themeColor="accent6" w:themeTint="75" w:fill="f0b09c" w:themeFill="accent6" w:themeFillTint="75"/>
        <w:tcBorders/>
      </w:tcPr>
    </w:tblStylePr>
    <w:tblStylePr w:type="band1Vert">
      <w:pPr>
        <w:pBdr/>
        <w:spacing/>
        <w:ind/>
      </w:pPr>
      <w:tblPr>
        <w:tblBorders/>
      </w:tblPr>
      <w:tcPr>
        <w:shd w:val="clear" w:color="ffffff" w:themeColor="accent6" w:themeTint="75" w:fill="f0b09c"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df5327" w:themeFill="accent6"/>
        <w:tcBorders/>
      </w:tcPr>
    </w:tblStylePr>
    <w:tblStylePr w:type="firstRow">
      <w:rPr>
        <w:rFonts w:ascii="Arial" w:hAnsi="Arial"/>
        <w:b/>
        <w:color w:val="ffffff"/>
        <w:sz w:val="22"/>
      </w:rPr>
      <w:pPr>
        <w:pBdr/>
        <w:spacing/>
        <w:ind/>
      </w:pPr>
      <w:tblPr>
        <w:tblBorders/>
      </w:tblPr>
      <w:tcPr>
        <w:shd w:val="clear" w:color="ffffff" w:themeColor="accent6" w:fill="df5327" w:themeFill="accent6"/>
        <w:tcBorders/>
      </w:tcPr>
    </w:tblStylePr>
    <w:tblStylePr w:type="lastCol">
      <w:rPr>
        <w:rFonts w:ascii="Arial" w:hAnsi="Arial"/>
        <w:b/>
        <w:color w:val="ffffff"/>
        <w:sz w:val="22"/>
      </w:rPr>
      <w:pPr>
        <w:pBdr/>
        <w:spacing/>
        <w:ind/>
      </w:pPr>
      <w:tblPr>
        <w:tblBorders/>
      </w:tblPr>
      <w:tcPr>
        <w:shd w:val="clear" w:color="ffffff" w:themeColor="accent6" w:fill="df5327" w:themeFill="accent6"/>
        <w:tcBorders/>
      </w:tcPr>
    </w:tblStylePr>
    <w:tblStylePr w:type="lastRow">
      <w:rPr>
        <w:rFonts w:ascii="Arial" w:hAnsi="Arial"/>
        <w:b/>
        <w:color w:val="ffffff"/>
        <w:sz w:val="22"/>
      </w:rPr>
      <w:pPr>
        <w:pBdr/>
        <w:spacing/>
        <w:ind/>
      </w:pPr>
      <w:tblPr>
        <w:tblBorders/>
      </w:tblPr>
      <w:tcPr>
        <w:shd w:val="clear" w:color="ffffff" w:themeColor="accent6" w:fill="df5327"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4">
    <w:name w:val="Grid Table 6 Colorful"/>
    <w:basedOn w:val="841"/>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55">
    <w:name w:val="Grid Table 6 Colorful - Accent 1"/>
    <w:basedOn w:val="841"/>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7e7f1" w:themeFill="accent1" w:themeFillTint="34"/>
        <w:tcBorders/>
      </w:tcPr>
    </w:tblStylePr>
    <w:tblStylePr w:type="band1Vert">
      <w:pPr>
        <w:pBdr/>
        <w:spacing/>
        <w:ind/>
      </w:pPr>
      <w:tblPr>
        <w:tblBorders/>
      </w:tblPr>
      <w:tcPr>
        <w:shd w:val="clear" w:color="ffffff" w:themeColor="accent1" w:themeTint="34" w:fill="d7e7f1"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b7ca1" w:themeColor="accent1" w:themeTint="80" w:themeShade="95"/>
      </w:rPr>
      <w:pPr>
        <w:pBdr/>
        <w:spacing/>
        <w:ind/>
      </w:pPr>
      <w:tblPr>
        <w:tblBorders/>
      </w:tblPr>
      <w:tcPr>
        <w:tcBorders/>
      </w:tcPr>
    </w:tblStylePr>
    <w:tblStylePr w:type="firstRow">
      <w:rPr>
        <w:b/>
        <w:color w:val="3b7ca1" w:themeColor="accent1" w:themeTint="80" w:themeShade="95"/>
      </w:rPr>
      <w:pPr>
        <w:pBdr/>
        <w:spacing/>
        <w:ind/>
      </w:pPr>
      <w:tblPr>
        <w:tblBorders/>
      </w:tblPr>
      <w:tcPr>
        <w:tcBorders>
          <w:bottom w:val="single" w:color="000000" w:themeColor="accent1" w:themeTint="80" w:sz="12" w:space="0"/>
        </w:tcBorders>
      </w:tcPr>
    </w:tblStylePr>
    <w:tblStylePr w:type="lastCol">
      <w:rPr>
        <w:b/>
        <w:color w:val="3b7ca1" w:themeColor="accent1" w:themeTint="80" w:themeShade="95"/>
      </w:rPr>
      <w:pPr>
        <w:pBdr/>
        <w:spacing/>
        <w:ind/>
      </w:pPr>
      <w:tblPr>
        <w:tblBorders/>
      </w:tblPr>
      <w:tcPr>
        <w:tcBorders/>
      </w:tcPr>
    </w:tblStylePr>
    <w:tblStylePr w:type="lastRow">
      <w:rPr>
        <w:b/>
        <w:color w:val="3b7ca1"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56">
    <w:name w:val="Grid Table 6 Colorful - Accent 2"/>
    <w:basedOn w:val="841"/>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1f5d0" w:themeFill="accent2" w:themeFillTint="32"/>
        <w:tcBorders/>
      </w:tcPr>
    </w:tblStylePr>
    <w:tblStylePr w:type="band1Vert">
      <w:pPr>
        <w:pBdr/>
        <w:spacing/>
        <w:ind/>
      </w:pPr>
      <w:tblPr>
        <w:tblBorders/>
      </w:tblPr>
      <w:tcPr>
        <w:shd w:val="clear" w:color="ffffff" w:themeColor="accent2" w:themeTint="32" w:fill="f1f5d0"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4a423" w:themeColor="accent2" w:themeTint="97" w:themeShade="95"/>
      </w:rPr>
      <w:pPr>
        <w:pBdr/>
        <w:spacing/>
        <w:ind/>
      </w:pPr>
      <w:tblPr>
        <w:tblBorders/>
      </w:tblPr>
      <w:tcPr>
        <w:tcBorders/>
      </w:tcPr>
    </w:tblStylePr>
    <w:tblStylePr w:type="firstRow">
      <w:rPr>
        <w:b/>
        <w:color w:val="94a423" w:themeColor="accent2" w:themeTint="97" w:themeShade="95"/>
      </w:rPr>
      <w:pPr>
        <w:pBdr/>
        <w:spacing/>
        <w:ind/>
      </w:pPr>
      <w:tblPr>
        <w:tblBorders/>
      </w:tblPr>
      <w:tcPr>
        <w:tcBorders>
          <w:bottom w:val="single" w:color="000000" w:themeColor="accent2" w:themeTint="97" w:sz="12" w:space="0"/>
        </w:tcBorders>
      </w:tcPr>
    </w:tblStylePr>
    <w:tblStylePr w:type="lastCol">
      <w:rPr>
        <w:b/>
        <w:color w:val="94a423" w:themeColor="accent2" w:themeTint="97" w:themeShade="95"/>
      </w:rPr>
      <w:pPr>
        <w:pBdr/>
        <w:spacing/>
        <w:ind/>
      </w:pPr>
      <w:tblPr>
        <w:tblBorders/>
      </w:tblPr>
      <w:tcPr>
        <w:tcBorders/>
      </w:tcPr>
    </w:tblStylePr>
    <w:tblStylePr w:type="lastRow">
      <w:rPr>
        <w:b/>
        <w:color w:val="94a423"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57">
    <w:name w:val="Grid Table 6 Colorful - Accent 3"/>
    <w:basedOn w:val="841"/>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ffe9c9" w:themeFill="accent3" w:themeFillTint="34"/>
        <w:tcBorders/>
      </w:tcPr>
    </w:tblStylePr>
    <w:tblStylePr w:type="band1Vert">
      <w:pPr>
        <w:pBdr/>
        <w:spacing/>
        <w:ind/>
      </w:pPr>
      <w:tblPr>
        <w:tblBorders/>
      </w:tblPr>
      <w:tcPr>
        <w:shd w:val="clear" w:color="ffffff" w:themeColor="accent3" w:themeTint="34" w:fill="ffe9c9"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05600" w:themeColor="accent3" w:themeTint="FE" w:themeShade="95"/>
      </w:rPr>
      <w:pPr>
        <w:pBdr/>
        <w:spacing/>
        <w:ind/>
      </w:pPr>
      <w:tblPr>
        <w:tblBorders/>
      </w:tblPr>
      <w:tcPr>
        <w:tcBorders/>
      </w:tcPr>
    </w:tblStylePr>
    <w:tblStylePr w:type="firstRow">
      <w:rPr>
        <w:b/>
        <w:color w:val="905600" w:themeColor="accent3" w:themeTint="FE" w:themeShade="95"/>
      </w:rPr>
      <w:pPr>
        <w:pBdr/>
        <w:spacing/>
        <w:ind/>
      </w:pPr>
      <w:tblPr>
        <w:tblBorders/>
      </w:tblPr>
      <w:tcPr>
        <w:tcBorders>
          <w:bottom w:val="single" w:color="000000" w:themeColor="accent3" w:themeTint="FE" w:sz="12" w:space="0"/>
        </w:tcBorders>
      </w:tcPr>
    </w:tblStylePr>
    <w:tblStylePr w:type="lastCol">
      <w:rPr>
        <w:b/>
        <w:color w:val="905600" w:themeColor="accent3" w:themeTint="FE" w:themeShade="95"/>
      </w:rPr>
      <w:pPr>
        <w:pBdr/>
        <w:spacing/>
        <w:ind/>
      </w:pPr>
      <w:tblPr>
        <w:tblBorders/>
      </w:tblPr>
      <w:tcPr>
        <w:tcBorders/>
      </w:tcPr>
    </w:tblStylePr>
    <w:tblStylePr w:type="lastRow">
      <w:rPr>
        <w:b/>
        <w:color w:val="905600"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58">
    <w:name w:val="Grid Table 6 Colorful - Accent 4"/>
    <w:basedOn w:val="841"/>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6e6e6" w:themeFill="accent4" w:themeFillTint="34"/>
        <w:tcBorders/>
      </w:tcPr>
    </w:tblStylePr>
    <w:tblStylePr w:type="band1Vert">
      <w:pPr>
        <w:pBdr/>
        <w:spacing/>
        <w:ind/>
      </w:pPr>
      <w:tblPr>
        <w:tblBorders/>
      </w:tblPr>
      <w:tcPr>
        <w:shd w:val="clear" w:color="ffffff" w:themeColor="accent4" w:themeTint="34" w:fill="e6e6e6"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96969" w:themeColor="accent4" w:themeTint="9A" w:themeShade="95"/>
      </w:rPr>
      <w:pPr>
        <w:pBdr/>
        <w:spacing/>
        <w:ind/>
      </w:pPr>
      <w:tblPr>
        <w:tblBorders/>
      </w:tblPr>
      <w:tcPr>
        <w:tcBorders/>
      </w:tcPr>
    </w:tblStylePr>
    <w:tblStylePr w:type="firstRow">
      <w:rPr>
        <w:b/>
        <w:color w:val="696969" w:themeColor="accent4" w:themeTint="9A" w:themeShade="95"/>
      </w:rPr>
      <w:pPr>
        <w:pBdr/>
        <w:spacing/>
        <w:ind/>
      </w:pPr>
      <w:tblPr>
        <w:tblBorders/>
      </w:tblPr>
      <w:tcPr>
        <w:tcBorders>
          <w:bottom w:val="single" w:color="000000" w:themeColor="accent4" w:themeTint="9A" w:sz="12" w:space="0"/>
        </w:tcBorders>
      </w:tcPr>
    </w:tblStylePr>
    <w:tblStylePr w:type="lastCol">
      <w:rPr>
        <w:b/>
        <w:color w:val="696969" w:themeColor="accent4" w:themeTint="9A" w:themeShade="95"/>
      </w:rPr>
      <w:pPr>
        <w:pBdr/>
        <w:spacing/>
        <w:ind/>
      </w:pPr>
      <w:tblPr>
        <w:tblBorders/>
      </w:tblPr>
      <w:tcPr>
        <w:tcBorders/>
      </w:tcPr>
    </w:tblStylePr>
    <w:tblStylePr w:type="lastRow">
      <w:rPr>
        <w:b/>
        <w:color w:val="696969"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59">
    <w:name w:val="Grid Table 6 Colorful - Accent 5"/>
    <w:basedOn w:val="841"/>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fff3cc" w:themeFill="accent5" w:themeFillTint="34"/>
        <w:tcBorders/>
      </w:tcPr>
    </w:tblStylePr>
    <w:tblStylePr w:type="band1Vert">
      <w:pPr>
        <w:pBdr/>
        <w:spacing/>
        <w:ind/>
      </w:pPr>
      <w:tblPr>
        <w:tblBorders/>
      </w:tblPr>
      <w:tcPr>
        <w:shd w:val="clear" w:color="ffffff" w:themeColor="accent5" w:themeTint="34" w:fill="fff3cc"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77301" w:themeColor="accent5" w:themeShade="95"/>
      </w:rPr>
      <w:pPr>
        <w:pBdr/>
        <w:spacing/>
        <w:ind/>
      </w:pPr>
      <w:tblPr>
        <w:tblBorders/>
      </w:tblPr>
      <w:tcPr>
        <w:tcBorders/>
      </w:tcPr>
    </w:tblStylePr>
    <w:tblStylePr w:type="firstRow">
      <w:rPr>
        <w:b/>
        <w:color w:val="977301" w:themeColor="accent5" w:themeShade="95"/>
      </w:rPr>
      <w:pPr>
        <w:pBdr/>
        <w:spacing/>
        <w:ind/>
      </w:pPr>
      <w:tblPr>
        <w:tblBorders/>
      </w:tblPr>
      <w:tcPr>
        <w:tcBorders>
          <w:bottom w:val="single" w:color="000000" w:themeColor="accent5" w:sz="12" w:space="0"/>
        </w:tcBorders>
      </w:tcPr>
    </w:tblStylePr>
    <w:tblStylePr w:type="lastCol">
      <w:rPr>
        <w:b/>
        <w:color w:val="977301" w:themeColor="accent5" w:themeShade="95"/>
      </w:rPr>
      <w:pPr>
        <w:pBdr/>
        <w:spacing/>
        <w:ind/>
      </w:pPr>
      <w:tblPr>
        <w:tblBorders/>
      </w:tblPr>
      <w:tcPr>
        <w:tcBorders/>
      </w:tcPr>
    </w:tblStylePr>
    <w:tblStylePr w:type="lastRow">
      <w:rPr>
        <w:b/>
        <w:color w:val="977301"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60">
    <w:name w:val="Grid Table 6 Colorful - Accent 6"/>
    <w:basedOn w:val="841"/>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8dcd3" w:themeFill="accent6" w:themeFillTint="34"/>
        <w:tcBorders/>
      </w:tcPr>
    </w:tblStylePr>
    <w:tblStylePr w:type="band1Vert">
      <w:pPr>
        <w:pBdr/>
        <w:spacing/>
        <w:ind/>
      </w:pPr>
      <w:tblPr>
        <w:tblBorders/>
      </w:tblPr>
      <w:tcPr>
        <w:shd w:val="clear" w:color="ffffff" w:themeColor="accent6" w:themeTint="34" w:fill="f8dcd3"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77301" w:themeColor="accent5" w:themeShade="95"/>
      </w:rPr>
      <w:pPr>
        <w:pBdr/>
        <w:spacing/>
        <w:ind/>
      </w:pPr>
      <w:tblPr>
        <w:tblBorders/>
      </w:tblPr>
      <w:tcPr>
        <w:tcBorders/>
      </w:tcPr>
    </w:tblStylePr>
    <w:tblStylePr w:type="firstRow">
      <w:rPr>
        <w:b/>
        <w:color w:val="977301" w:themeColor="accent5" w:themeShade="95"/>
      </w:rPr>
      <w:pPr>
        <w:pBdr/>
        <w:spacing/>
        <w:ind/>
      </w:pPr>
      <w:tblPr>
        <w:tblBorders/>
      </w:tblPr>
      <w:tcPr>
        <w:tcBorders>
          <w:bottom w:val="single" w:color="000000" w:themeColor="accent6" w:sz="12" w:space="0"/>
        </w:tcBorders>
      </w:tcPr>
    </w:tblStylePr>
    <w:tblStylePr w:type="lastCol">
      <w:rPr>
        <w:b/>
        <w:color w:val="977301" w:themeColor="accent5" w:themeShade="95"/>
      </w:rPr>
      <w:pPr>
        <w:pBdr/>
        <w:spacing/>
        <w:ind/>
      </w:pPr>
      <w:tblPr>
        <w:tblBorders/>
      </w:tblPr>
      <w:tcPr>
        <w:tcBorders/>
      </w:tcPr>
    </w:tblStylePr>
    <w:tblStylePr w:type="lastRow">
      <w:rPr>
        <w:b/>
        <w:color w:val="977301"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61">
    <w:name w:val="Grid Table 7 Colorful"/>
    <w:basedOn w:val="841"/>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2">
    <w:name w:val="Grid Table 7 Colorful - Accent 1"/>
    <w:basedOn w:val="841"/>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b7ca1" w:themeColor="accent1" w:themeTint="80" w:themeShade="95"/>
        <w:sz w:val="22"/>
      </w:rPr>
      <w:pPr>
        <w:pBdr/>
        <w:spacing/>
        <w:ind/>
      </w:pPr>
      <w:tblPr>
        <w:tblBorders/>
      </w:tblPr>
      <w:tcPr>
        <w:shd w:val="clear" w:color="ffffff" w:themeColor="accent1" w:themeTint="34" w:fill="d7e7f1" w:themeFill="accent1" w:themeFillTint="34"/>
        <w:tcBorders/>
      </w:tcPr>
    </w:tblStylePr>
    <w:tblStylePr w:type="band1Vert">
      <w:pPr>
        <w:pBdr/>
        <w:spacing/>
        <w:ind/>
      </w:pPr>
      <w:tblPr>
        <w:tblBorders/>
      </w:tblPr>
      <w:tcPr>
        <w:shd w:val="clear" w:color="ffffff" w:themeColor="accent1" w:themeTint="34" w:fill="d7e7f1" w:themeFill="accent1" w:themeFillTint="34"/>
        <w:tcBorders/>
      </w:tcPr>
    </w:tblStylePr>
    <w:tblStylePr w:type="band2Horz">
      <w:rPr>
        <w:rFonts w:ascii="Arial" w:hAnsi="Arial"/>
        <w:color w:val="3b7ca1"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b7ca1" w:themeColor="accent1" w:themeTint="80" w:themeShade="95"/>
        <w:sz w:val="22"/>
      </w:rPr>
      <w:pPr>
        <w:pBdr/>
        <w:spacing/>
        <w:ind/>
        <w:jc w:val="right"/>
      </w:pPr>
      <w:tblPr>
        <w:tblBorders/>
      </w:tblPr>
      <w:tcPr>
        <w:shd w:color="ffffff"/>
        <w:tcBorders>
          <w:top w:val="none"/>
          <w:left w:val="none"/>
          <w:bottom w:val="none"/>
          <w:right w:val="single" w:color="000000" w:themeColor="accent1" w:themeTint="80" w:sz="4" w:space="0"/>
        </w:tcBorders>
      </w:tcPr>
    </w:tblStylePr>
    <w:tblStylePr w:type="firstRow">
      <w:rPr>
        <w:rFonts w:ascii="Arial" w:hAnsi="Arial"/>
        <w:b/>
        <w:color w:val="3b7ca1" w:themeColor="accent1" w:themeTint="80" w:themeShade="95"/>
        <w:sz w:val="22"/>
      </w:rPr>
      <w:pPr>
        <w:pBdr/>
        <w:spacing/>
        <w:ind/>
      </w:pPr>
      <w:tblPr>
        <w:tblBorders/>
      </w:tblPr>
      <w:tcPr>
        <w:shd w:val="clear" w:color="ffffff" w:themeColor="light1" w:fill="ffffff" w:themeFill="light1"/>
        <w:tcBorders>
          <w:top w:val="none"/>
          <w:left w:val="none"/>
          <w:bottom w:val="single" w:color="000000" w:themeColor="accent1" w:themeTint="80" w:sz="4" w:space="0"/>
          <w:right w:val="none"/>
        </w:tcBorders>
      </w:tcPr>
    </w:tblStylePr>
    <w:tblStylePr w:type="lastCol">
      <w:rPr>
        <w:rFonts w:ascii="Arial" w:hAnsi="Arial"/>
        <w:i/>
        <w:color w:val="3b7ca1" w:themeColor="accent1" w:themeTint="80" w:themeShade="95"/>
        <w:sz w:val="22"/>
      </w:rPr>
      <w:pPr>
        <w:pBdr/>
        <w:spacing/>
        <w:ind/>
      </w:pPr>
      <w:tblPr>
        <w:tblBorders/>
      </w:tblPr>
      <w:tcPr>
        <w:shd w:color="ffffff"/>
        <w:tcBorders>
          <w:top w:val="none"/>
          <w:left w:val="single" w:color="000000" w:themeColor="accent1" w:themeTint="80" w:sz="4" w:space="0"/>
          <w:bottom w:val="none"/>
          <w:right w:val="none"/>
        </w:tcBorders>
      </w:tcPr>
    </w:tblStylePr>
    <w:tblStylePr w:type="lastRow">
      <w:rPr>
        <w:rFonts w:ascii="Arial" w:hAnsi="Arial"/>
        <w:b/>
        <w:color w:val="3b7ca1"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3">
    <w:name w:val="Grid Table 7 Colorful - Accent 2"/>
    <w:basedOn w:val="841"/>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4a423" w:themeColor="accent2" w:themeTint="97" w:themeShade="95"/>
        <w:sz w:val="22"/>
      </w:rPr>
      <w:pPr>
        <w:pBdr/>
        <w:spacing/>
        <w:ind/>
      </w:pPr>
      <w:tblPr>
        <w:tblBorders/>
      </w:tblPr>
      <w:tcPr>
        <w:shd w:val="clear" w:color="ffffff" w:themeColor="accent2" w:themeTint="32" w:fill="f1f5d0" w:themeFill="accent2" w:themeFillTint="32"/>
        <w:tcBorders/>
      </w:tcPr>
    </w:tblStylePr>
    <w:tblStylePr w:type="band1Vert">
      <w:pPr>
        <w:pBdr/>
        <w:spacing/>
        <w:ind/>
      </w:pPr>
      <w:tblPr>
        <w:tblBorders/>
      </w:tblPr>
      <w:tcPr>
        <w:shd w:val="clear" w:color="ffffff" w:themeColor="accent2" w:themeTint="32" w:fill="f1f5d0" w:themeFill="accent2" w:themeFillTint="32"/>
        <w:tcBorders/>
      </w:tcPr>
    </w:tblStylePr>
    <w:tblStylePr w:type="band2Horz">
      <w:rPr>
        <w:rFonts w:ascii="Arial" w:hAnsi="Arial"/>
        <w:color w:val="94a423"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4a423"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b/>
        <w:color w:val="94a423"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94a423"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b/>
        <w:color w:val="94a423"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4">
    <w:name w:val="Grid Table 7 Colorful - Accent 3"/>
    <w:basedOn w:val="841"/>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905600" w:themeColor="accent3" w:themeTint="FE" w:themeShade="95"/>
        <w:sz w:val="22"/>
      </w:rPr>
      <w:pPr>
        <w:pBdr/>
        <w:spacing/>
        <w:ind/>
      </w:pPr>
      <w:tblPr>
        <w:tblBorders/>
      </w:tblPr>
      <w:tcPr>
        <w:shd w:val="clear" w:color="ffffff" w:themeColor="accent3" w:themeTint="34" w:fill="ffe9c9" w:themeFill="accent3" w:themeFillTint="34"/>
        <w:tcBorders/>
      </w:tcPr>
    </w:tblStylePr>
    <w:tblStylePr w:type="band1Vert">
      <w:pPr>
        <w:pBdr/>
        <w:spacing/>
        <w:ind/>
      </w:pPr>
      <w:tblPr>
        <w:tblBorders/>
      </w:tblPr>
      <w:tcPr>
        <w:shd w:val="clear" w:color="ffffff" w:themeColor="accent3" w:themeTint="34" w:fill="ffe9c9" w:themeFill="accent3" w:themeFillTint="34"/>
        <w:tcBorders/>
      </w:tcPr>
    </w:tblStylePr>
    <w:tblStylePr w:type="band2Horz">
      <w:rPr>
        <w:rFonts w:ascii="Arial" w:hAnsi="Arial"/>
        <w:color w:val="90560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05600" w:themeColor="accent3" w:themeTint="FE" w:themeShade="95"/>
        <w:sz w:val="22"/>
      </w:rPr>
      <w:pPr>
        <w:pBdr/>
        <w:spacing/>
        <w:ind/>
        <w:jc w:val="right"/>
      </w:pPr>
      <w:tblPr>
        <w:tblBorders/>
      </w:tblPr>
      <w:tcPr>
        <w:shd w:color="ffffff"/>
        <w:tcBorders>
          <w:top w:val="none"/>
          <w:left w:val="none"/>
          <w:bottom w:val="none"/>
          <w:right w:val="single" w:color="000000" w:themeColor="accent3" w:themeTint="FE" w:sz="4" w:space="0"/>
        </w:tcBorders>
      </w:tcPr>
    </w:tblStylePr>
    <w:tblStylePr w:type="firstRow">
      <w:rPr>
        <w:rFonts w:ascii="Arial" w:hAnsi="Arial"/>
        <w:b/>
        <w:color w:val="905600" w:themeColor="accent3" w:themeTint="FE" w:themeShade="95"/>
        <w:sz w:val="22"/>
      </w:rPr>
      <w:pPr>
        <w:pBdr/>
        <w:spacing/>
        <w:ind/>
      </w:pPr>
      <w:tblPr>
        <w:tblBorders/>
      </w:tblPr>
      <w:tcPr>
        <w:shd w:val="clear" w:color="ffffff" w:themeColor="light1" w:fill="ffffff" w:themeFill="light1"/>
        <w:tcBorders>
          <w:top w:val="none"/>
          <w:left w:val="none"/>
          <w:bottom w:val="single" w:color="000000" w:themeColor="accent3" w:themeTint="FE" w:sz="4" w:space="0"/>
          <w:right w:val="none"/>
        </w:tcBorders>
      </w:tcPr>
    </w:tblStylePr>
    <w:tblStylePr w:type="lastCol">
      <w:rPr>
        <w:rFonts w:ascii="Arial" w:hAnsi="Arial"/>
        <w:i/>
        <w:color w:val="905600" w:themeColor="accent3" w:themeTint="FE" w:themeShade="95"/>
        <w:sz w:val="22"/>
      </w:rPr>
      <w:pPr>
        <w:pBdr/>
        <w:spacing/>
        <w:ind/>
      </w:pPr>
      <w:tblPr>
        <w:tblBorders/>
      </w:tblPr>
      <w:tcPr>
        <w:shd w:color="ffffff"/>
        <w:tcBorders>
          <w:top w:val="none"/>
          <w:left w:val="single" w:color="000000" w:themeColor="accent3" w:themeTint="FE" w:sz="4" w:space="0"/>
          <w:bottom w:val="none"/>
          <w:right w:val="none"/>
        </w:tcBorders>
      </w:tcPr>
    </w:tblStylePr>
    <w:tblStylePr w:type="lastRow">
      <w:rPr>
        <w:rFonts w:ascii="Arial" w:hAnsi="Arial"/>
        <w:b/>
        <w:color w:val="905600"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5">
    <w:name w:val="Grid Table 7 Colorful - Accent 4"/>
    <w:basedOn w:val="841"/>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96969" w:themeColor="accent4" w:themeTint="9A" w:themeShade="95"/>
        <w:sz w:val="22"/>
      </w:rPr>
      <w:pPr>
        <w:pBdr/>
        <w:spacing/>
        <w:ind/>
      </w:pPr>
      <w:tblPr>
        <w:tblBorders/>
      </w:tblPr>
      <w:tcPr>
        <w:shd w:val="clear" w:color="ffffff" w:themeColor="accent4" w:themeTint="34" w:fill="e6e6e6" w:themeFill="accent4" w:themeFillTint="34"/>
        <w:tcBorders/>
      </w:tcPr>
    </w:tblStylePr>
    <w:tblStylePr w:type="band1Vert">
      <w:pPr>
        <w:pBdr/>
        <w:spacing/>
        <w:ind/>
      </w:pPr>
      <w:tblPr>
        <w:tblBorders/>
      </w:tblPr>
      <w:tcPr>
        <w:shd w:val="clear" w:color="ffffff" w:themeColor="accent4" w:themeTint="34" w:fill="e6e6e6" w:themeFill="accent4" w:themeFillTint="34"/>
        <w:tcBorders/>
      </w:tcPr>
    </w:tblStylePr>
    <w:tblStylePr w:type="band2Horz">
      <w:rPr>
        <w:rFonts w:ascii="Arial" w:hAnsi="Arial"/>
        <w:color w:val="696969"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96969"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b/>
        <w:color w:val="696969"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696969"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b/>
        <w:color w:val="696969"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6">
    <w:name w:val="Grid Table 7 Colorful - Accent 5"/>
    <w:basedOn w:val="841"/>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977301" w:themeColor="accent5" w:themeShade="95"/>
        <w:sz w:val="22"/>
      </w:rPr>
      <w:pPr>
        <w:pBdr/>
        <w:spacing/>
        <w:ind/>
      </w:pPr>
      <w:tblPr>
        <w:tblBorders/>
      </w:tblPr>
      <w:tcPr>
        <w:shd w:val="clear" w:color="ffffff" w:themeColor="accent5" w:themeTint="34" w:fill="fff3cc" w:themeFill="accent5" w:themeFillTint="34"/>
        <w:tcBorders/>
      </w:tcPr>
    </w:tblStylePr>
    <w:tblStylePr w:type="band1Vert">
      <w:pPr>
        <w:pBdr/>
        <w:spacing/>
        <w:ind/>
      </w:pPr>
      <w:tblPr>
        <w:tblBorders/>
      </w:tblPr>
      <w:tcPr>
        <w:shd w:val="clear" w:color="ffffff" w:themeColor="accent5" w:themeTint="34" w:fill="fff3cc" w:themeFill="accent5" w:themeFillTint="34"/>
        <w:tcBorders/>
      </w:tcPr>
    </w:tblStylePr>
    <w:tblStylePr w:type="band2Horz">
      <w:rPr>
        <w:rFonts w:ascii="Arial" w:hAnsi="Arial"/>
        <w:color w:val="977301"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77301" w:themeColor="accent5" w:themeShade="95"/>
        <w:sz w:val="22"/>
      </w:rPr>
      <w:pPr>
        <w:pBdr/>
        <w:spacing/>
        <w:ind/>
        <w:jc w:val="right"/>
      </w:pPr>
      <w:tblPr>
        <w:tblBorders/>
      </w:tblPr>
      <w:tcPr>
        <w:shd w:color="ffffff"/>
        <w:tcBorders>
          <w:top w:val="none"/>
          <w:left w:val="none"/>
          <w:bottom w:val="none"/>
          <w:right w:val="single" w:color="000000" w:themeColor="accent5" w:themeTint="90" w:sz="4" w:space="0"/>
        </w:tcBorders>
      </w:tcPr>
    </w:tblStylePr>
    <w:tblStylePr w:type="firstRow">
      <w:rPr>
        <w:rFonts w:ascii="Arial" w:hAnsi="Arial"/>
        <w:b/>
        <w:color w:val="977301" w:themeColor="accent5" w:themeShade="95"/>
        <w:sz w:val="22"/>
      </w:rPr>
      <w:pPr>
        <w:pBdr/>
        <w:spacing/>
        <w:ind/>
      </w:pPr>
      <w:tblPr>
        <w:tblBorders/>
      </w:tblPr>
      <w:tcPr>
        <w:shd w:val="clear" w:color="ffffff" w:themeColor="light1" w:fill="ffffff" w:themeFill="light1"/>
        <w:tcBorders>
          <w:top w:val="none"/>
          <w:left w:val="none"/>
          <w:bottom w:val="single" w:color="000000" w:themeColor="accent5" w:themeTint="90" w:sz="4" w:space="0"/>
          <w:right w:val="none"/>
        </w:tcBorders>
      </w:tcPr>
    </w:tblStylePr>
    <w:tblStylePr w:type="lastCol">
      <w:rPr>
        <w:rFonts w:ascii="Arial" w:hAnsi="Arial"/>
        <w:i/>
        <w:color w:val="977301" w:themeColor="accent5" w:themeShade="95"/>
        <w:sz w:val="22"/>
      </w:rPr>
      <w:pPr>
        <w:pBdr/>
        <w:spacing/>
        <w:ind/>
      </w:pPr>
      <w:tblPr>
        <w:tblBorders/>
      </w:tblPr>
      <w:tcPr>
        <w:shd w:color="ffffff"/>
        <w:tcBorders>
          <w:top w:val="none"/>
          <w:left w:val="single" w:color="000000" w:themeColor="accent5" w:themeTint="90" w:sz="4" w:space="0"/>
          <w:bottom w:val="none"/>
          <w:right w:val="none"/>
        </w:tcBorders>
      </w:tcPr>
    </w:tblStylePr>
    <w:tblStylePr w:type="lastRow">
      <w:rPr>
        <w:rFonts w:ascii="Arial" w:hAnsi="Arial"/>
        <w:b/>
        <w:color w:val="977301"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7">
    <w:name w:val="Grid Table 7 Colorful - Accent 6"/>
    <w:basedOn w:val="841"/>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852f14" w:themeColor="accent6" w:themeShade="95"/>
        <w:sz w:val="22"/>
      </w:rPr>
      <w:pPr>
        <w:pBdr/>
        <w:spacing/>
        <w:ind/>
      </w:pPr>
      <w:tblPr>
        <w:tblBorders/>
      </w:tblPr>
      <w:tcPr>
        <w:shd w:val="clear" w:color="ffffff" w:themeColor="accent6" w:themeTint="34" w:fill="f8dcd3" w:themeFill="accent6" w:themeFillTint="34"/>
        <w:tcBorders/>
      </w:tcPr>
    </w:tblStylePr>
    <w:tblStylePr w:type="band1Vert">
      <w:pPr>
        <w:pBdr/>
        <w:spacing/>
        <w:ind/>
      </w:pPr>
      <w:tblPr>
        <w:tblBorders/>
      </w:tblPr>
      <w:tcPr>
        <w:shd w:val="clear" w:color="ffffff" w:themeColor="accent6" w:themeTint="34" w:fill="f8dcd3" w:themeFill="accent6" w:themeFillTint="34"/>
        <w:tcBorders/>
      </w:tcPr>
    </w:tblStylePr>
    <w:tblStylePr w:type="band2Horz">
      <w:rPr>
        <w:rFonts w:ascii="Arial" w:hAnsi="Arial"/>
        <w:color w:val="852f14"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852f14" w:themeColor="accent6" w:themeShade="95"/>
        <w:sz w:val="22"/>
      </w:rPr>
      <w:pPr>
        <w:pBdr/>
        <w:spacing/>
        <w:ind/>
        <w:jc w:val="right"/>
      </w:pPr>
      <w:tblPr>
        <w:tblBorders/>
      </w:tblPr>
      <w:tcPr>
        <w:shd w:color="ffffff"/>
        <w:tcBorders>
          <w:top w:val="none"/>
          <w:left w:val="none"/>
          <w:bottom w:val="none"/>
          <w:right w:val="single" w:color="000000" w:themeColor="accent6" w:themeTint="90" w:sz="4" w:space="0"/>
        </w:tcBorders>
      </w:tcPr>
    </w:tblStylePr>
    <w:tblStylePr w:type="firstRow">
      <w:rPr>
        <w:rFonts w:ascii="Arial" w:hAnsi="Arial"/>
        <w:b/>
        <w:color w:val="852f14" w:themeColor="accent6" w:themeShade="95"/>
        <w:sz w:val="22"/>
      </w:rPr>
      <w:pPr>
        <w:pBdr/>
        <w:spacing/>
        <w:ind/>
      </w:pPr>
      <w:tblPr>
        <w:tblBorders/>
      </w:tblPr>
      <w:tcPr>
        <w:shd w:val="clear" w:color="ffffff" w:themeColor="light1" w:fill="ffffff" w:themeFill="light1"/>
        <w:tcBorders>
          <w:top w:val="none"/>
          <w:left w:val="none"/>
          <w:bottom w:val="single" w:color="000000" w:themeColor="accent6" w:themeTint="90" w:sz="4" w:space="0"/>
          <w:right w:val="none"/>
        </w:tcBorders>
      </w:tcPr>
    </w:tblStylePr>
    <w:tblStylePr w:type="lastCol">
      <w:rPr>
        <w:rFonts w:ascii="Arial" w:hAnsi="Arial"/>
        <w:i/>
        <w:color w:val="852f14" w:themeColor="accent6" w:themeShade="95"/>
        <w:sz w:val="22"/>
      </w:rPr>
      <w:pPr>
        <w:pBdr/>
        <w:spacing/>
        <w:ind/>
      </w:pPr>
      <w:tblPr>
        <w:tblBorders/>
      </w:tblPr>
      <w:tcPr>
        <w:shd w:color="ffffff"/>
        <w:tcBorders>
          <w:top w:val="none"/>
          <w:left w:val="single" w:color="000000" w:themeColor="accent6" w:themeTint="90" w:sz="4" w:space="0"/>
          <w:bottom w:val="none"/>
          <w:right w:val="none"/>
        </w:tcBorders>
      </w:tcPr>
    </w:tblStylePr>
    <w:tblStylePr w:type="lastRow">
      <w:rPr>
        <w:rFonts w:ascii="Arial" w:hAnsi="Arial"/>
        <w:b/>
        <w:color w:val="852f14"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8">
    <w:name w:val="List Table 1 Light"/>
    <w:basedOn w:val="84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9">
    <w:name w:val="List Table 1 Light - Accent 1"/>
    <w:basedOn w:val="84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cee2ed" w:themeFill="accent1" w:themeFillTint="40"/>
        <w:tcBorders/>
      </w:tcPr>
    </w:tblStylePr>
    <w:tblStylePr w:type="band1Vert">
      <w:pPr>
        <w:pBdr/>
        <w:spacing/>
        <w:ind/>
      </w:pPr>
      <w:tblPr>
        <w:tblBorders/>
      </w:tblPr>
      <w:tcPr>
        <w:shd w:val="clear" w:color="ffffff" w:themeColor="accent1" w:themeTint="40" w:fill="cee2ed"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
    <w:name w:val="List Table 1 Light - Accent 2"/>
    <w:basedOn w:val="84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df2c3" w:themeFill="accent2" w:themeFillTint="40"/>
        <w:tcBorders/>
      </w:tcPr>
    </w:tblStylePr>
    <w:tblStylePr w:type="band1Vert">
      <w:pPr>
        <w:pBdr/>
        <w:spacing/>
        <w:ind/>
      </w:pPr>
      <w:tblPr>
        <w:tblBorders/>
      </w:tblPr>
      <w:tcPr>
        <w:shd w:val="clear" w:color="ffffff" w:themeColor="accent2" w:themeTint="40" w:fill="edf2c3"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
    <w:name w:val="List Table 1 Light - Accent 3"/>
    <w:basedOn w:val="84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ffe4bd" w:themeFill="accent3" w:themeFillTint="40"/>
        <w:tcBorders/>
      </w:tcPr>
    </w:tblStylePr>
    <w:tblStylePr w:type="band1Vert">
      <w:pPr>
        <w:pBdr/>
        <w:spacing/>
        <w:ind/>
      </w:pPr>
      <w:tblPr>
        <w:tblBorders/>
      </w:tblPr>
      <w:tcPr>
        <w:shd w:val="clear" w:color="ffffff" w:themeColor="accent3" w:themeTint="40" w:fill="ffe4bd"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
    <w:name w:val="List Table 1 Light - Accent 4"/>
    <w:basedOn w:val="84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e0e0e0" w:themeFill="accent4" w:themeFillTint="40"/>
        <w:tcBorders/>
      </w:tcPr>
    </w:tblStylePr>
    <w:tblStylePr w:type="band1Vert">
      <w:pPr>
        <w:pBdr/>
        <w:spacing/>
        <w:ind/>
      </w:pPr>
      <w:tblPr>
        <w:tblBorders/>
      </w:tblPr>
      <w:tcPr>
        <w:shd w:val="clear" w:color="ffffff" w:themeColor="accent4" w:themeTint="40" w:fill="e0e0e0"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
    <w:name w:val="List Table 1 Light - Accent 5"/>
    <w:basedOn w:val="84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fff0c1" w:themeFill="accent5" w:themeFillTint="40"/>
        <w:tcBorders/>
      </w:tcPr>
    </w:tblStylePr>
    <w:tblStylePr w:type="band1Vert">
      <w:pPr>
        <w:pBdr/>
        <w:spacing/>
        <w:ind/>
      </w:pPr>
      <w:tblPr>
        <w:tblBorders/>
      </w:tblPr>
      <w:tcPr>
        <w:shd w:val="clear" w:color="ffffff" w:themeColor="accent5" w:themeTint="40" w:fill="fff0c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
    <w:name w:val="List Table 1 Light - Accent 6"/>
    <w:basedOn w:val="84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7d4c9" w:themeFill="accent6" w:themeFillTint="40"/>
        <w:tcBorders/>
      </w:tcPr>
    </w:tblStylePr>
    <w:tblStylePr w:type="band1Vert">
      <w:pPr>
        <w:pBdr/>
        <w:spacing/>
        <w:ind/>
      </w:pPr>
      <w:tblPr>
        <w:tblBorders/>
      </w:tblPr>
      <w:tcPr>
        <w:shd w:val="clear" w:color="ffffff" w:themeColor="accent6" w:themeTint="40" w:fill="f7d4c9"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
    <w:name w:val="List Table 2"/>
    <w:basedOn w:val="841"/>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
    <w:name w:val="List Table 2 - Accent 1"/>
    <w:basedOn w:val="841"/>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cee2ed"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cee2ed"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
    <w:name w:val="List Table 2 - Accent 2"/>
    <w:basedOn w:val="841"/>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df2c3"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df2c3"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
    <w:name w:val="List Table 2 - Accent 3"/>
    <w:basedOn w:val="841"/>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ffe4bd"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ffe4bd"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
    <w:name w:val="List Table 2 - Accent 4"/>
    <w:basedOn w:val="841"/>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e0e0e0"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e0e0e0"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
    <w:name w:val="List Table 2 - Accent 5"/>
    <w:basedOn w:val="841"/>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fff0c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fff0c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
    <w:name w:val="List Table 2 - Accent 6"/>
    <w:basedOn w:val="841"/>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7d4c9"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7d4c9"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
    <w:name w:val="List Table 3"/>
    <w:basedOn w:val="841"/>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
    <w:name w:val="List Table 3 - Accent 1"/>
    <w:basedOn w:val="841"/>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18ab3"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
    <w:name w:val="List Table 3 - Accent 2"/>
    <w:basedOn w:val="841"/>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4e172"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
    <w:name w:val="List Table 3 - Accent 3"/>
    <w:basedOn w:val="841"/>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ffbf62"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
    <w:name w:val="List Table 3 - Accent 4"/>
    <w:basedOn w:val="841"/>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4b4b4"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
    <w:name w:val="List Table 3 - Accent 5"/>
    <w:basedOn w:val="841"/>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fedb69"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
    <w:name w:val="List Table 3 - Accent 6"/>
    <w:basedOn w:val="841"/>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ec987e"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
    <w:name w:val="List Table 4"/>
    <w:basedOn w:val="841"/>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
    <w:name w:val="List Table 4 - Accent 1"/>
    <w:basedOn w:val="841"/>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cee2ed"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cee2ed"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18ab3"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
    <w:name w:val="List Table 4 - Accent 2"/>
    <w:basedOn w:val="841"/>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df2c3"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df2c3"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a6b727"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
    <w:name w:val="List Table 4 - Accent 3"/>
    <w:basedOn w:val="841"/>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ffe4bd"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ffe4bd"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f69200"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
    <w:name w:val="List Table 4 - Accent 4"/>
    <w:basedOn w:val="841"/>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e0e0e0"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e0e0e0"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38383"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
    <w:name w:val="List Table 4 - Accent 5"/>
    <w:basedOn w:val="841"/>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fff0c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fff0c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fec30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
    <w:name w:val="List Table 4 - Accent 6"/>
    <w:basedOn w:val="841"/>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7d4c9"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7d4c9"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df5327"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
    <w:name w:val="List Table 5 Dark"/>
    <w:basedOn w:val="841"/>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7">
    <w:name w:val="List Table 5 Dark - Accent 1"/>
    <w:basedOn w:val="841"/>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18ab3" w:themeFill="accent1"/>
    </w:tblPr>
    <w:tcPr>
      <w:tcBorders/>
    </w:tcPr>
    <w:tblStylePr w:type="band1Horz">
      <w:pPr>
        <w:pBdr/>
        <w:spacing/>
        <w:ind/>
      </w:pPr>
      <w:tblPr>
        <w:tblBorders/>
      </w:tblPr>
      <w:tcPr>
        <w:shd w:val="clear" w:color="ffffff" w:themeColor="accent1" w:fill="418ab3"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18ab3"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18ab3"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18ab3"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8">
    <w:name w:val="List Table 5 Dark - Accent 2"/>
    <w:basedOn w:val="841"/>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4e172" w:themeFill="accent2" w:themeFillTint="97"/>
    </w:tblPr>
    <w:tcPr>
      <w:tcBorders/>
    </w:tcPr>
    <w:tblStylePr w:type="band1Horz">
      <w:pPr>
        <w:pBdr/>
        <w:spacing/>
        <w:ind/>
      </w:pPr>
      <w:tblPr>
        <w:tblBorders/>
      </w:tblPr>
      <w:tcPr>
        <w:shd w:val="clear" w:color="ffffff" w:themeColor="accent2" w:themeTint="97" w:fill="d4e172"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4e172"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4e172"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4e172"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9">
    <w:name w:val="List Table 5 Dark - Accent 3"/>
    <w:basedOn w:val="841"/>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ffbf62" w:themeFill="accent3" w:themeFillTint="98"/>
    </w:tblPr>
    <w:tcPr>
      <w:tcBorders/>
    </w:tcPr>
    <w:tblStylePr w:type="band1Horz">
      <w:pPr>
        <w:pBdr/>
        <w:spacing/>
        <w:ind/>
      </w:pPr>
      <w:tblPr>
        <w:tblBorders/>
      </w:tblPr>
      <w:tcPr>
        <w:shd w:val="clear" w:color="ffffff" w:themeColor="accent3" w:themeTint="98" w:fill="ffbf62"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ffbf62"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ffbf62"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ffbf62"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0">
    <w:name w:val="List Table 5 Dark - Accent 4"/>
    <w:basedOn w:val="841"/>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4b4b4" w:themeFill="accent4" w:themeFillTint="9A"/>
    </w:tblPr>
    <w:tcPr>
      <w:tcBorders/>
    </w:tcPr>
    <w:tblStylePr w:type="band1Horz">
      <w:pPr>
        <w:pBdr/>
        <w:spacing/>
        <w:ind/>
      </w:pPr>
      <w:tblPr>
        <w:tblBorders/>
      </w:tblPr>
      <w:tcPr>
        <w:shd w:val="clear" w:color="ffffff" w:themeColor="accent4" w:themeTint="9A" w:fill="b4b4b4"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4b4b4"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4b4b4"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4b4b4"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1">
    <w:name w:val="List Table 5 Dark - Accent 5"/>
    <w:basedOn w:val="841"/>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fedb69" w:themeFill="accent5" w:themeFillTint="9A"/>
    </w:tblPr>
    <w:tcPr>
      <w:tcBorders/>
    </w:tcPr>
    <w:tblStylePr w:type="band1Horz">
      <w:pPr>
        <w:pBdr/>
        <w:spacing/>
        <w:ind/>
      </w:pPr>
      <w:tblPr>
        <w:tblBorders/>
      </w:tblPr>
      <w:tcPr>
        <w:shd w:val="clear" w:color="ffffff" w:themeColor="accent5" w:themeTint="9A" w:fill="fedb69"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fedb69"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fedb69"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fedb69"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2">
    <w:name w:val="List Table 5 Dark - Accent 6"/>
    <w:basedOn w:val="841"/>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ec987e" w:themeFill="accent6" w:themeFillTint="98"/>
    </w:tblPr>
    <w:tcPr>
      <w:tcBorders/>
    </w:tcPr>
    <w:tblStylePr w:type="band1Horz">
      <w:pPr>
        <w:pBdr/>
        <w:spacing/>
        <w:ind/>
      </w:pPr>
      <w:tblPr>
        <w:tblBorders/>
      </w:tblPr>
      <w:tcPr>
        <w:shd w:val="clear" w:color="ffffff" w:themeColor="accent6" w:themeTint="98" w:fill="ec987e"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ec987e"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ec987e"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ec987e"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3">
    <w:name w:val="List Table 6 Colorful"/>
    <w:basedOn w:val="841"/>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4">
    <w:name w:val="List Table 6 Colorful - Accent 1"/>
    <w:basedOn w:val="841"/>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cee2ed" w:themeFill="accent1" w:themeFillTint="40"/>
        <w:tcBorders/>
      </w:tcPr>
    </w:tblStylePr>
    <w:tblStylePr w:type="band1Vert">
      <w:pPr>
        <w:pBdr/>
        <w:spacing/>
        <w:ind/>
      </w:pPr>
      <w:tblPr>
        <w:tblBorders/>
      </w:tblPr>
      <w:tcPr>
        <w:shd w:val="clear" w:color="ffffff" w:themeColor="accent1" w:themeTint="40" w:fill="cee2ed"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5169" w:themeColor="accent1" w:themeShade="95"/>
      </w:rPr>
      <w:pPr>
        <w:pBdr/>
        <w:spacing/>
        <w:ind/>
      </w:pPr>
      <w:tblPr>
        <w:tblBorders/>
      </w:tblPr>
      <w:tcPr>
        <w:tcBorders/>
      </w:tcPr>
    </w:tblStylePr>
    <w:tblStylePr w:type="firstRow">
      <w:rPr>
        <w:b/>
        <w:color w:val="265169" w:themeColor="accent1" w:themeShade="95"/>
      </w:rPr>
      <w:pPr>
        <w:pBdr/>
        <w:spacing/>
        <w:ind/>
      </w:pPr>
      <w:tblPr>
        <w:tblBorders/>
      </w:tblPr>
      <w:tcPr>
        <w:tcBorders>
          <w:bottom w:val="single" w:color="000000" w:themeColor="accent1" w:sz="4" w:space="0"/>
        </w:tcBorders>
      </w:tcPr>
    </w:tblStylePr>
    <w:tblStylePr w:type="lastCol">
      <w:rPr>
        <w:b/>
        <w:color w:val="265169" w:themeColor="accent1" w:themeShade="95"/>
      </w:rPr>
      <w:pPr>
        <w:pBdr/>
        <w:spacing/>
        <w:ind/>
      </w:pPr>
      <w:tblPr>
        <w:tblBorders/>
      </w:tblPr>
      <w:tcPr>
        <w:tcBorders/>
      </w:tcPr>
    </w:tblStylePr>
    <w:tblStylePr w:type="lastRow">
      <w:rPr>
        <w:b/>
        <w:color w:val="265169"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5">
    <w:name w:val="List Table 6 Colorful - Accent 2"/>
    <w:basedOn w:val="841"/>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df2c3" w:themeFill="accent2" w:themeFillTint="40"/>
        <w:tcBorders/>
      </w:tcPr>
    </w:tblStylePr>
    <w:tblStylePr w:type="band1Vert">
      <w:pPr>
        <w:pBdr/>
        <w:spacing/>
        <w:ind/>
      </w:pPr>
      <w:tblPr>
        <w:tblBorders/>
      </w:tblPr>
      <w:tcPr>
        <w:shd w:val="clear" w:color="ffffff" w:themeColor="accent2" w:themeTint="40" w:fill="edf2c3"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4a423" w:themeColor="accent2" w:themeTint="97" w:themeShade="95"/>
      </w:rPr>
      <w:pPr>
        <w:pBdr/>
        <w:spacing/>
        <w:ind/>
      </w:pPr>
      <w:tblPr>
        <w:tblBorders/>
      </w:tblPr>
      <w:tcPr>
        <w:tcBorders/>
      </w:tcPr>
    </w:tblStylePr>
    <w:tblStylePr w:type="firstRow">
      <w:rPr>
        <w:b/>
        <w:color w:val="94a423" w:themeColor="accent2" w:themeTint="97" w:themeShade="95"/>
      </w:rPr>
      <w:pPr>
        <w:pBdr/>
        <w:spacing/>
        <w:ind/>
      </w:pPr>
      <w:tblPr>
        <w:tblBorders/>
      </w:tblPr>
      <w:tcPr>
        <w:tcBorders>
          <w:bottom w:val="single" w:color="000000" w:themeColor="accent2" w:themeTint="97" w:sz="4" w:space="0"/>
        </w:tcBorders>
      </w:tcPr>
    </w:tblStylePr>
    <w:tblStylePr w:type="lastCol">
      <w:rPr>
        <w:b/>
        <w:color w:val="94a423" w:themeColor="accent2" w:themeTint="97" w:themeShade="95"/>
      </w:rPr>
      <w:pPr>
        <w:pBdr/>
        <w:spacing/>
        <w:ind/>
      </w:pPr>
      <w:tblPr>
        <w:tblBorders/>
      </w:tblPr>
      <w:tcPr>
        <w:tcBorders/>
      </w:tcPr>
    </w:tblStylePr>
    <w:tblStylePr w:type="lastRow">
      <w:rPr>
        <w:b/>
        <w:color w:val="94a423"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6">
    <w:name w:val="List Table 6 Colorful - Accent 3"/>
    <w:basedOn w:val="841"/>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ffe4bd" w:themeFill="accent3" w:themeFillTint="40"/>
        <w:tcBorders/>
      </w:tcPr>
    </w:tblStylePr>
    <w:tblStylePr w:type="band1Vert">
      <w:pPr>
        <w:pBdr/>
        <w:spacing/>
        <w:ind/>
      </w:pPr>
      <w:tblPr>
        <w:tblBorders/>
      </w:tblPr>
      <w:tcPr>
        <w:shd w:val="clear" w:color="ffffff" w:themeColor="accent3" w:themeTint="40" w:fill="ffe4bd"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e7a00" w:themeColor="accent3" w:themeTint="98" w:themeShade="95"/>
      </w:rPr>
      <w:pPr>
        <w:pBdr/>
        <w:spacing/>
        <w:ind/>
      </w:pPr>
      <w:tblPr>
        <w:tblBorders/>
      </w:tblPr>
      <w:tcPr>
        <w:tcBorders/>
      </w:tcPr>
    </w:tblStylePr>
    <w:tblStylePr w:type="firstRow">
      <w:rPr>
        <w:b/>
        <w:color w:val="ce7a00" w:themeColor="accent3" w:themeTint="98" w:themeShade="95"/>
      </w:rPr>
      <w:pPr>
        <w:pBdr/>
        <w:spacing/>
        <w:ind/>
      </w:pPr>
      <w:tblPr>
        <w:tblBorders/>
      </w:tblPr>
      <w:tcPr>
        <w:tcBorders>
          <w:bottom w:val="single" w:color="000000" w:themeColor="accent3" w:themeTint="98" w:sz="4" w:space="0"/>
        </w:tcBorders>
      </w:tcPr>
    </w:tblStylePr>
    <w:tblStylePr w:type="lastCol">
      <w:rPr>
        <w:b/>
        <w:color w:val="ce7a00" w:themeColor="accent3" w:themeTint="98" w:themeShade="95"/>
      </w:rPr>
      <w:pPr>
        <w:pBdr/>
        <w:spacing/>
        <w:ind/>
      </w:pPr>
      <w:tblPr>
        <w:tblBorders/>
      </w:tblPr>
      <w:tcPr>
        <w:tcBorders/>
      </w:tcPr>
    </w:tblStylePr>
    <w:tblStylePr w:type="lastRow">
      <w:rPr>
        <w:b/>
        <w:color w:val="ce7a00"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7">
    <w:name w:val="List Table 6 Colorful - Accent 4"/>
    <w:basedOn w:val="841"/>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e0e0e0" w:themeFill="accent4" w:themeFillTint="40"/>
        <w:tcBorders/>
      </w:tcPr>
    </w:tblStylePr>
    <w:tblStylePr w:type="band1Vert">
      <w:pPr>
        <w:pBdr/>
        <w:spacing/>
        <w:ind/>
      </w:pPr>
      <w:tblPr>
        <w:tblBorders/>
      </w:tblPr>
      <w:tcPr>
        <w:shd w:val="clear" w:color="ffffff" w:themeColor="accent4" w:themeTint="40" w:fill="e0e0e0"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96969" w:themeColor="accent4" w:themeTint="9A" w:themeShade="95"/>
      </w:rPr>
      <w:pPr>
        <w:pBdr/>
        <w:spacing/>
        <w:ind/>
      </w:pPr>
      <w:tblPr>
        <w:tblBorders/>
      </w:tblPr>
      <w:tcPr>
        <w:tcBorders/>
      </w:tcPr>
    </w:tblStylePr>
    <w:tblStylePr w:type="firstRow">
      <w:rPr>
        <w:b/>
        <w:color w:val="696969" w:themeColor="accent4" w:themeTint="9A" w:themeShade="95"/>
      </w:rPr>
      <w:pPr>
        <w:pBdr/>
        <w:spacing/>
        <w:ind/>
      </w:pPr>
      <w:tblPr>
        <w:tblBorders/>
      </w:tblPr>
      <w:tcPr>
        <w:tcBorders>
          <w:bottom w:val="single" w:color="000000" w:themeColor="accent4" w:themeTint="9A" w:sz="4" w:space="0"/>
        </w:tcBorders>
      </w:tcPr>
    </w:tblStylePr>
    <w:tblStylePr w:type="lastCol">
      <w:rPr>
        <w:b/>
        <w:color w:val="696969" w:themeColor="accent4" w:themeTint="9A" w:themeShade="95"/>
      </w:rPr>
      <w:pPr>
        <w:pBdr/>
        <w:spacing/>
        <w:ind/>
      </w:pPr>
      <w:tblPr>
        <w:tblBorders/>
      </w:tblPr>
      <w:tcPr>
        <w:tcBorders/>
      </w:tcPr>
    </w:tblStylePr>
    <w:tblStylePr w:type="lastRow">
      <w:rPr>
        <w:b/>
        <w:color w:val="696969"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8">
    <w:name w:val="List Table 6 Colorful - Accent 5"/>
    <w:basedOn w:val="841"/>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fff0c1" w:themeFill="accent5" w:themeFillTint="40"/>
        <w:tcBorders/>
      </w:tcPr>
    </w:tblStylePr>
    <w:tblStylePr w:type="band1Vert">
      <w:pPr>
        <w:pBdr/>
        <w:spacing/>
        <w:ind/>
      </w:pPr>
      <w:tblPr>
        <w:tblBorders/>
      </w:tblPr>
      <w:tcPr>
        <w:shd w:val="clear" w:color="ffffff" w:themeColor="accent5" w:themeTint="40" w:fill="fff0c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19f01" w:themeColor="accent5" w:themeTint="9A" w:themeShade="95"/>
      </w:rPr>
      <w:pPr>
        <w:pBdr/>
        <w:spacing/>
        <w:ind/>
      </w:pPr>
      <w:tblPr>
        <w:tblBorders/>
      </w:tblPr>
      <w:tcPr>
        <w:tcBorders/>
      </w:tcPr>
    </w:tblStylePr>
    <w:tblStylePr w:type="firstRow">
      <w:rPr>
        <w:b/>
        <w:color w:val="d19f01" w:themeColor="accent5" w:themeTint="9A" w:themeShade="95"/>
      </w:rPr>
      <w:pPr>
        <w:pBdr/>
        <w:spacing/>
        <w:ind/>
      </w:pPr>
      <w:tblPr>
        <w:tblBorders/>
      </w:tblPr>
      <w:tcPr>
        <w:tcBorders>
          <w:bottom w:val="single" w:color="000000" w:themeColor="accent5" w:themeTint="9A" w:sz="4" w:space="0"/>
        </w:tcBorders>
      </w:tcPr>
    </w:tblStylePr>
    <w:tblStylePr w:type="lastCol">
      <w:rPr>
        <w:b/>
        <w:color w:val="d19f01" w:themeColor="accent5" w:themeTint="9A" w:themeShade="95"/>
      </w:rPr>
      <w:pPr>
        <w:pBdr/>
        <w:spacing/>
        <w:ind/>
      </w:pPr>
      <w:tblPr>
        <w:tblBorders/>
      </w:tblPr>
      <w:tcPr>
        <w:tcBorders/>
      </w:tcPr>
    </w:tblStylePr>
    <w:tblStylePr w:type="lastRow">
      <w:rPr>
        <w:b/>
        <w:color w:val="d19f01"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9">
    <w:name w:val="List Table 6 Colorful - Accent 6"/>
    <w:basedOn w:val="841"/>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7d4c9" w:themeFill="accent6" w:themeFillTint="40"/>
        <w:tcBorders/>
      </w:tcPr>
    </w:tblStylePr>
    <w:tblStylePr w:type="band1Vert">
      <w:pPr>
        <w:pBdr/>
        <w:spacing/>
        <w:ind/>
      </w:pPr>
      <w:tblPr>
        <w:tblBorders/>
      </w:tblPr>
      <w:tcPr>
        <w:shd w:val="clear" w:color="ffffff" w:themeColor="accent6" w:themeTint="40" w:fill="f7d4c9"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b8411b" w:themeColor="accent6" w:themeTint="98" w:themeShade="95"/>
      </w:rPr>
      <w:pPr>
        <w:pBdr/>
        <w:spacing/>
        <w:ind/>
      </w:pPr>
      <w:tblPr>
        <w:tblBorders/>
      </w:tblPr>
      <w:tcPr>
        <w:tcBorders/>
      </w:tcPr>
    </w:tblStylePr>
    <w:tblStylePr w:type="firstRow">
      <w:rPr>
        <w:b/>
        <w:color w:val="b8411b" w:themeColor="accent6" w:themeTint="98" w:themeShade="95"/>
      </w:rPr>
      <w:pPr>
        <w:pBdr/>
        <w:spacing/>
        <w:ind/>
      </w:pPr>
      <w:tblPr>
        <w:tblBorders/>
      </w:tblPr>
      <w:tcPr>
        <w:tcBorders>
          <w:bottom w:val="single" w:color="000000" w:themeColor="accent6" w:themeTint="98" w:sz="4" w:space="0"/>
        </w:tcBorders>
      </w:tcPr>
    </w:tblStylePr>
    <w:tblStylePr w:type="lastCol">
      <w:rPr>
        <w:b/>
        <w:color w:val="b8411b" w:themeColor="accent6" w:themeTint="98" w:themeShade="95"/>
      </w:rPr>
      <w:pPr>
        <w:pBdr/>
        <w:spacing/>
        <w:ind/>
      </w:pPr>
      <w:tblPr>
        <w:tblBorders/>
      </w:tblPr>
      <w:tcPr>
        <w:tcBorders/>
      </w:tcPr>
    </w:tblStylePr>
    <w:tblStylePr w:type="lastRow">
      <w:rPr>
        <w:b/>
        <w:color w:val="b8411b"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0">
    <w:name w:val="List Table 7 Colorful"/>
    <w:basedOn w:val="841"/>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111">
    <w:name w:val="List Table 7 Colorful - Accent 1"/>
    <w:basedOn w:val="841"/>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65169" w:themeColor="accent1" w:themeShade="95"/>
        <w:sz w:val="22"/>
      </w:rPr>
      <w:pPr>
        <w:pBdr/>
        <w:spacing/>
        <w:ind/>
      </w:pPr>
      <w:tblPr>
        <w:tblBorders/>
      </w:tblPr>
      <w:tcPr>
        <w:shd w:val="clear" w:color="ffffff" w:themeColor="accent1" w:themeTint="40" w:fill="cee2ed" w:themeFill="accent1" w:themeFillTint="40"/>
        <w:tcBorders/>
      </w:tcPr>
    </w:tblStylePr>
    <w:tblStylePr w:type="band1Vert">
      <w:pPr>
        <w:pBdr/>
        <w:spacing/>
        <w:ind/>
      </w:pPr>
      <w:tblPr>
        <w:tblBorders/>
      </w:tblPr>
      <w:tcPr>
        <w:shd w:val="clear" w:color="ffffff" w:themeColor="accent1" w:themeTint="40" w:fill="cee2ed" w:themeFill="accent1" w:themeFillTint="40"/>
        <w:tcBorders/>
      </w:tcPr>
    </w:tblStylePr>
    <w:tblStylePr w:type="band2Horz">
      <w:rPr>
        <w:rFonts w:ascii="Arial" w:hAnsi="Arial"/>
        <w:color w:val="265169"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5169" w:themeColor="accent1" w:themeShade="95"/>
        <w:sz w:val="22"/>
      </w:rPr>
      <w:pPr>
        <w:pBdr/>
        <w:spacing/>
        <w:ind/>
        <w:jc w:val="right"/>
      </w:pPr>
      <w:tblPr>
        <w:tblBorders/>
      </w:tblPr>
      <w:tcPr>
        <w:shd w:color="ffffff"/>
        <w:tcBorders>
          <w:top w:val="none"/>
          <w:left w:val="none"/>
          <w:bottom w:val="none"/>
          <w:right w:val="single" w:color="000000" w:themeColor="accent1" w:sz="4" w:space="0"/>
        </w:tcBorders>
      </w:tcPr>
    </w:tblStylePr>
    <w:tblStylePr w:type="firstRow">
      <w:rPr>
        <w:rFonts w:ascii="Arial" w:hAnsi="Arial"/>
        <w:i/>
        <w:color w:val="265169" w:themeColor="accent1" w:themeShade="95"/>
        <w:sz w:val="22"/>
      </w:rPr>
      <w:pPr>
        <w:pBdr/>
        <w:spacing/>
        <w:ind/>
      </w:pPr>
      <w:tblPr>
        <w:tblBorders/>
      </w:tblPr>
      <w:tcPr>
        <w:shd w:val="clear" w:color="ffffff" w:themeColor="light1" w:fill="ffffff" w:themeFill="light1"/>
        <w:tcBorders>
          <w:top w:val="none"/>
          <w:left w:val="none"/>
          <w:bottom w:val="single" w:color="000000" w:themeColor="accent1" w:sz="4" w:space="0"/>
          <w:right w:val="none"/>
        </w:tcBorders>
      </w:tcPr>
    </w:tblStylePr>
    <w:tblStylePr w:type="lastCol">
      <w:rPr>
        <w:rFonts w:ascii="Arial" w:hAnsi="Arial"/>
        <w:i/>
        <w:color w:val="265169" w:themeColor="accent1" w:themeShade="95"/>
        <w:sz w:val="22"/>
      </w:rPr>
      <w:pPr>
        <w:pBdr/>
        <w:spacing/>
        <w:ind/>
      </w:pPr>
      <w:tblPr>
        <w:tblBorders/>
      </w:tblPr>
      <w:tcPr>
        <w:shd w:color="ffffff"/>
        <w:tcBorders>
          <w:top w:val="none"/>
          <w:left w:val="single" w:color="000000" w:themeColor="accent1" w:sz="4" w:space="0"/>
          <w:bottom w:val="none"/>
          <w:right w:val="none"/>
        </w:tcBorders>
      </w:tcPr>
    </w:tblStylePr>
    <w:tblStylePr w:type="lastRow">
      <w:rPr>
        <w:rFonts w:ascii="Arial" w:hAnsi="Arial"/>
        <w:i/>
        <w:color w:val="265169" w:themeColor="accent1" w:themeShade="95"/>
        <w:sz w:val="22"/>
      </w:rPr>
      <w:pPr>
        <w:pBdr/>
        <w:spacing/>
        <w:ind/>
      </w:pPr>
      <w:tblPr>
        <w:tblBorders/>
      </w:tblPr>
      <w:tcPr>
        <w:shd w:val="clear" w:color="ffffff" w:themeColor="light1" w:fill="ffffff" w:themeFill="light1"/>
        <w:tcBorders>
          <w:top w:val="single" w:color="000000" w:themeColor="accent1"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65169" w:themeColor="accent1" w:themeShade="95"/>
        <w:sz w:val="22"/>
      </w:rPr>
      <w:pPr>
        <w:pBdr/>
        <w:spacing/>
        <w:ind/>
      </w:pPr>
      <w:tblPr>
        <w:tblBorders/>
      </w:tblPr>
      <w:tcPr>
        <w:tcBorders/>
      </w:tcPr>
    </w:tblStylePr>
  </w:style>
  <w:style w:type="table" w:styleId="112">
    <w:name w:val="List Table 7 Colorful - Accent 2"/>
    <w:basedOn w:val="841"/>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4a423" w:themeColor="accent2" w:themeTint="97" w:themeShade="95"/>
        <w:sz w:val="22"/>
      </w:rPr>
      <w:pPr>
        <w:pBdr/>
        <w:spacing/>
        <w:ind/>
      </w:pPr>
      <w:tblPr>
        <w:tblBorders/>
      </w:tblPr>
      <w:tcPr>
        <w:shd w:val="clear" w:color="ffffff" w:themeColor="accent2" w:themeTint="40" w:fill="edf2c3" w:themeFill="accent2" w:themeFillTint="40"/>
        <w:tcBorders/>
      </w:tcPr>
    </w:tblStylePr>
    <w:tblStylePr w:type="band1Vert">
      <w:pPr>
        <w:pBdr/>
        <w:spacing/>
        <w:ind/>
      </w:pPr>
      <w:tblPr>
        <w:tblBorders/>
      </w:tblPr>
      <w:tcPr>
        <w:shd w:val="clear" w:color="ffffff" w:themeColor="accent2" w:themeTint="40" w:fill="edf2c3" w:themeFill="accent2" w:themeFillTint="40"/>
        <w:tcBorders/>
      </w:tcPr>
    </w:tblStylePr>
    <w:tblStylePr w:type="band2Horz">
      <w:rPr>
        <w:rFonts w:ascii="Arial" w:hAnsi="Arial"/>
        <w:color w:val="94a423"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4a423"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i/>
        <w:color w:val="94a423"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94a423"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i/>
        <w:color w:val="94a423"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4a423" w:themeColor="accent2" w:themeTint="97" w:themeShade="95"/>
        <w:sz w:val="22"/>
      </w:rPr>
      <w:pPr>
        <w:pBdr/>
        <w:spacing/>
        <w:ind/>
      </w:pPr>
      <w:tblPr>
        <w:tblBorders/>
      </w:tblPr>
      <w:tcPr>
        <w:tcBorders/>
      </w:tcPr>
    </w:tblStylePr>
  </w:style>
  <w:style w:type="table" w:styleId="113">
    <w:name w:val="List Table 7 Colorful - Accent 3"/>
    <w:basedOn w:val="841"/>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ce7a00" w:themeColor="accent3" w:themeTint="98" w:themeShade="95"/>
        <w:sz w:val="22"/>
      </w:rPr>
      <w:pPr>
        <w:pBdr/>
        <w:spacing/>
        <w:ind/>
      </w:pPr>
      <w:tblPr>
        <w:tblBorders/>
      </w:tblPr>
      <w:tcPr>
        <w:shd w:val="clear" w:color="ffffff" w:themeColor="accent3" w:themeTint="40" w:fill="ffe4bd" w:themeFill="accent3" w:themeFillTint="40"/>
        <w:tcBorders/>
      </w:tcPr>
    </w:tblStylePr>
    <w:tblStylePr w:type="band1Vert">
      <w:pPr>
        <w:pBdr/>
        <w:spacing/>
        <w:ind/>
      </w:pPr>
      <w:tblPr>
        <w:tblBorders/>
      </w:tblPr>
      <w:tcPr>
        <w:shd w:val="clear" w:color="ffffff" w:themeColor="accent3" w:themeTint="40" w:fill="ffe4bd" w:themeFill="accent3" w:themeFillTint="40"/>
        <w:tcBorders/>
      </w:tcPr>
    </w:tblStylePr>
    <w:tblStylePr w:type="band2Horz">
      <w:rPr>
        <w:rFonts w:ascii="Arial" w:hAnsi="Arial"/>
        <w:color w:val="ce7a0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e7a00" w:themeColor="accent3" w:themeTint="98" w:themeShade="95"/>
        <w:sz w:val="22"/>
      </w:rPr>
      <w:pPr>
        <w:pBdr/>
        <w:spacing/>
        <w:ind/>
        <w:jc w:val="right"/>
      </w:pPr>
      <w:tblPr>
        <w:tblBorders/>
      </w:tblPr>
      <w:tcPr>
        <w:shd w:color="ffffff"/>
        <w:tcBorders>
          <w:top w:val="none"/>
          <w:left w:val="none"/>
          <w:bottom w:val="none"/>
          <w:right w:val="single" w:color="000000" w:themeColor="accent3" w:themeTint="98" w:sz="4" w:space="0"/>
        </w:tcBorders>
      </w:tcPr>
    </w:tblStylePr>
    <w:tblStylePr w:type="firstRow">
      <w:rPr>
        <w:rFonts w:ascii="Arial" w:hAnsi="Arial"/>
        <w:i/>
        <w:color w:val="ce7a00" w:themeColor="accent3" w:themeTint="98" w:themeShade="95"/>
        <w:sz w:val="22"/>
      </w:rPr>
      <w:pPr>
        <w:pBdr/>
        <w:spacing/>
        <w:ind/>
      </w:pPr>
      <w:tblPr>
        <w:tblBorders/>
      </w:tblPr>
      <w:tcPr>
        <w:shd w:val="clear" w:color="ffffff" w:themeColor="light1" w:fill="ffffff" w:themeFill="light1"/>
        <w:tcBorders>
          <w:top w:val="none"/>
          <w:left w:val="none"/>
          <w:bottom w:val="single" w:color="000000" w:themeColor="accent3" w:themeTint="98" w:sz="4" w:space="0"/>
          <w:right w:val="none"/>
        </w:tcBorders>
      </w:tcPr>
    </w:tblStylePr>
    <w:tblStylePr w:type="lastCol">
      <w:rPr>
        <w:rFonts w:ascii="Arial" w:hAnsi="Arial"/>
        <w:i/>
        <w:color w:val="ce7a00" w:themeColor="accent3" w:themeTint="98" w:themeShade="95"/>
        <w:sz w:val="22"/>
      </w:rPr>
      <w:pPr>
        <w:pBdr/>
        <w:spacing/>
        <w:ind/>
      </w:pPr>
      <w:tblPr>
        <w:tblBorders/>
      </w:tblPr>
      <w:tcPr>
        <w:shd w:color="ffffff"/>
        <w:tcBorders>
          <w:top w:val="none"/>
          <w:left w:val="single" w:color="000000" w:themeColor="accent3" w:themeTint="98" w:sz="4" w:space="0"/>
          <w:bottom w:val="none"/>
          <w:right w:val="none"/>
        </w:tcBorders>
      </w:tcPr>
    </w:tblStylePr>
    <w:tblStylePr w:type="lastRow">
      <w:rPr>
        <w:rFonts w:ascii="Arial" w:hAnsi="Arial"/>
        <w:i/>
        <w:color w:val="ce7a00"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ce7a00" w:themeColor="accent3" w:themeTint="98" w:themeShade="95"/>
        <w:sz w:val="22"/>
      </w:rPr>
      <w:pPr>
        <w:pBdr/>
        <w:spacing/>
        <w:ind/>
      </w:pPr>
      <w:tblPr>
        <w:tblBorders/>
      </w:tblPr>
      <w:tcPr>
        <w:tcBorders/>
      </w:tcPr>
    </w:tblStylePr>
  </w:style>
  <w:style w:type="table" w:styleId="114">
    <w:name w:val="List Table 7 Colorful - Accent 4"/>
    <w:basedOn w:val="841"/>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96969" w:themeColor="accent4" w:themeTint="9A" w:themeShade="95"/>
        <w:sz w:val="22"/>
      </w:rPr>
      <w:pPr>
        <w:pBdr/>
        <w:spacing/>
        <w:ind/>
      </w:pPr>
      <w:tblPr>
        <w:tblBorders/>
      </w:tblPr>
      <w:tcPr>
        <w:shd w:val="clear" w:color="ffffff" w:themeColor="accent4" w:themeTint="40" w:fill="e0e0e0" w:themeFill="accent4" w:themeFillTint="40"/>
        <w:tcBorders/>
      </w:tcPr>
    </w:tblStylePr>
    <w:tblStylePr w:type="band1Vert">
      <w:pPr>
        <w:pBdr/>
        <w:spacing/>
        <w:ind/>
      </w:pPr>
      <w:tblPr>
        <w:tblBorders/>
      </w:tblPr>
      <w:tcPr>
        <w:shd w:val="clear" w:color="ffffff" w:themeColor="accent4" w:themeTint="40" w:fill="e0e0e0" w:themeFill="accent4" w:themeFillTint="40"/>
        <w:tcBorders/>
      </w:tcPr>
    </w:tblStylePr>
    <w:tblStylePr w:type="band2Horz">
      <w:rPr>
        <w:rFonts w:ascii="Arial" w:hAnsi="Arial"/>
        <w:color w:val="696969"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96969"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i/>
        <w:color w:val="696969"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696969"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i/>
        <w:color w:val="696969"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96969" w:themeColor="accent4" w:themeTint="9A" w:themeShade="95"/>
        <w:sz w:val="22"/>
      </w:rPr>
      <w:pPr>
        <w:pBdr/>
        <w:spacing/>
        <w:ind/>
      </w:pPr>
      <w:tblPr>
        <w:tblBorders/>
      </w:tblPr>
      <w:tcPr>
        <w:tcBorders/>
      </w:tcPr>
    </w:tblStylePr>
  </w:style>
  <w:style w:type="table" w:styleId="115">
    <w:name w:val="List Table 7 Colorful - Accent 5"/>
    <w:basedOn w:val="841"/>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d19f01" w:themeColor="accent5" w:themeTint="9A" w:themeShade="95"/>
        <w:sz w:val="22"/>
      </w:rPr>
      <w:pPr>
        <w:pBdr/>
        <w:spacing/>
        <w:ind/>
      </w:pPr>
      <w:tblPr>
        <w:tblBorders/>
      </w:tblPr>
      <w:tcPr>
        <w:shd w:val="clear" w:color="ffffff" w:themeColor="accent5" w:themeTint="40" w:fill="fff0c1" w:themeFill="accent5" w:themeFillTint="40"/>
        <w:tcBorders/>
      </w:tcPr>
    </w:tblStylePr>
    <w:tblStylePr w:type="band1Vert">
      <w:pPr>
        <w:pBdr/>
        <w:spacing/>
        <w:ind/>
      </w:pPr>
      <w:tblPr>
        <w:tblBorders/>
      </w:tblPr>
      <w:tcPr>
        <w:shd w:val="clear" w:color="ffffff" w:themeColor="accent5" w:themeTint="40" w:fill="fff0c1" w:themeFill="accent5" w:themeFillTint="40"/>
        <w:tcBorders/>
      </w:tcPr>
    </w:tblStylePr>
    <w:tblStylePr w:type="band2Horz">
      <w:rPr>
        <w:rFonts w:ascii="Arial" w:hAnsi="Arial"/>
        <w:color w:val="d19f01"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19f01" w:themeColor="accent5" w:themeTint="9A" w:themeShade="95"/>
        <w:sz w:val="22"/>
      </w:rPr>
      <w:pPr>
        <w:pBdr/>
        <w:spacing/>
        <w:ind/>
        <w:jc w:val="right"/>
      </w:pPr>
      <w:tblPr>
        <w:tblBorders/>
      </w:tblPr>
      <w:tcPr>
        <w:shd w:color="ffffff"/>
        <w:tcBorders>
          <w:top w:val="none"/>
          <w:left w:val="none"/>
          <w:bottom w:val="none"/>
          <w:right w:val="single" w:color="000000" w:themeColor="accent5" w:themeTint="9A" w:sz="4" w:space="0"/>
        </w:tcBorders>
      </w:tcPr>
    </w:tblStylePr>
    <w:tblStylePr w:type="firstRow">
      <w:rPr>
        <w:rFonts w:ascii="Arial" w:hAnsi="Arial"/>
        <w:i/>
        <w:color w:val="d19f01" w:themeColor="accent5" w:themeTint="9A" w:themeShade="95"/>
        <w:sz w:val="22"/>
      </w:rPr>
      <w:pPr>
        <w:pBdr/>
        <w:spacing/>
        <w:ind/>
      </w:pPr>
      <w:tblPr>
        <w:tblBorders/>
      </w:tblPr>
      <w:tcPr>
        <w:shd w:val="clear" w:color="ffffff" w:themeColor="light1" w:fill="ffffff" w:themeFill="light1"/>
        <w:tcBorders>
          <w:top w:val="none"/>
          <w:left w:val="none"/>
          <w:bottom w:val="single" w:color="000000" w:themeColor="accent5" w:themeTint="9A" w:sz="4" w:space="0"/>
          <w:right w:val="none"/>
        </w:tcBorders>
      </w:tcPr>
    </w:tblStylePr>
    <w:tblStylePr w:type="lastCol">
      <w:rPr>
        <w:rFonts w:ascii="Arial" w:hAnsi="Arial"/>
        <w:i/>
        <w:color w:val="d19f01" w:themeColor="accent5" w:themeTint="9A" w:themeShade="95"/>
        <w:sz w:val="22"/>
      </w:rPr>
      <w:pPr>
        <w:pBdr/>
        <w:spacing/>
        <w:ind/>
      </w:pPr>
      <w:tblPr>
        <w:tblBorders/>
      </w:tblPr>
      <w:tcPr>
        <w:shd w:color="ffffff"/>
        <w:tcBorders>
          <w:top w:val="none"/>
          <w:left w:val="single" w:color="000000" w:themeColor="accent5" w:themeTint="9A" w:sz="4" w:space="0"/>
          <w:bottom w:val="none"/>
          <w:right w:val="none"/>
        </w:tcBorders>
      </w:tcPr>
    </w:tblStylePr>
    <w:tblStylePr w:type="lastRow">
      <w:rPr>
        <w:rFonts w:ascii="Arial" w:hAnsi="Arial"/>
        <w:i/>
        <w:color w:val="d19f01"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19f01" w:themeColor="accent5" w:themeTint="9A" w:themeShade="95"/>
        <w:sz w:val="22"/>
      </w:rPr>
      <w:pPr>
        <w:pBdr/>
        <w:spacing/>
        <w:ind/>
      </w:pPr>
      <w:tblPr>
        <w:tblBorders/>
      </w:tblPr>
      <w:tcPr>
        <w:tcBorders/>
      </w:tcPr>
    </w:tblStylePr>
  </w:style>
  <w:style w:type="table" w:styleId="116">
    <w:name w:val="List Table 7 Colorful - Accent 6"/>
    <w:basedOn w:val="841"/>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b8411b" w:themeColor="accent6" w:themeTint="98" w:themeShade="95"/>
        <w:sz w:val="22"/>
      </w:rPr>
      <w:pPr>
        <w:pBdr/>
        <w:spacing/>
        <w:ind/>
      </w:pPr>
      <w:tblPr>
        <w:tblBorders/>
      </w:tblPr>
      <w:tcPr>
        <w:shd w:val="clear" w:color="ffffff" w:themeColor="accent6" w:themeTint="40" w:fill="f7d4c9" w:themeFill="accent6" w:themeFillTint="40"/>
        <w:tcBorders/>
      </w:tcPr>
    </w:tblStylePr>
    <w:tblStylePr w:type="band1Vert">
      <w:pPr>
        <w:pBdr/>
        <w:spacing/>
        <w:ind/>
      </w:pPr>
      <w:tblPr>
        <w:tblBorders/>
      </w:tblPr>
      <w:tcPr>
        <w:shd w:val="clear" w:color="ffffff" w:themeColor="accent6" w:themeTint="40" w:fill="f7d4c9" w:themeFill="accent6" w:themeFillTint="40"/>
        <w:tcBorders/>
      </w:tcPr>
    </w:tblStylePr>
    <w:tblStylePr w:type="band2Horz">
      <w:rPr>
        <w:rFonts w:ascii="Arial" w:hAnsi="Arial"/>
        <w:color w:val="b8411b"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8411b" w:themeColor="accent6" w:themeTint="98" w:themeShade="95"/>
        <w:sz w:val="22"/>
      </w:rPr>
      <w:pPr>
        <w:pBdr/>
        <w:spacing/>
        <w:ind/>
        <w:jc w:val="right"/>
      </w:pPr>
      <w:tblPr>
        <w:tblBorders/>
      </w:tblPr>
      <w:tcPr>
        <w:shd w:color="ffffff"/>
        <w:tcBorders>
          <w:top w:val="none"/>
          <w:left w:val="none"/>
          <w:bottom w:val="none"/>
          <w:right w:val="single" w:color="000000" w:themeColor="accent6" w:themeTint="98" w:sz="4" w:space="0"/>
        </w:tcBorders>
      </w:tcPr>
    </w:tblStylePr>
    <w:tblStylePr w:type="firstRow">
      <w:rPr>
        <w:rFonts w:ascii="Arial" w:hAnsi="Arial"/>
        <w:i/>
        <w:color w:val="b8411b" w:themeColor="accent6" w:themeTint="98" w:themeShade="95"/>
        <w:sz w:val="22"/>
      </w:rPr>
      <w:pPr>
        <w:pBdr/>
        <w:spacing/>
        <w:ind/>
      </w:pPr>
      <w:tblPr>
        <w:tblBorders/>
      </w:tblPr>
      <w:tcPr>
        <w:shd w:val="clear" w:color="ffffff" w:themeColor="light1" w:fill="ffffff" w:themeFill="light1"/>
        <w:tcBorders>
          <w:top w:val="none"/>
          <w:left w:val="none"/>
          <w:bottom w:val="single" w:color="000000" w:themeColor="accent6" w:themeTint="98" w:sz="4" w:space="0"/>
          <w:right w:val="none"/>
        </w:tcBorders>
      </w:tcPr>
    </w:tblStylePr>
    <w:tblStylePr w:type="lastCol">
      <w:rPr>
        <w:rFonts w:ascii="Arial" w:hAnsi="Arial"/>
        <w:i/>
        <w:color w:val="b8411b" w:themeColor="accent6" w:themeTint="98" w:themeShade="95"/>
        <w:sz w:val="22"/>
      </w:rPr>
      <w:pPr>
        <w:pBdr/>
        <w:spacing/>
        <w:ind/>
      </w:pPr>
      <w:tblPr>
        <w:tblBorders/>
      </w:tblPr>
      <w:tcPr>
        <w:shd w:color="ffffff"/>
        <w:tcBorders>
          <w:top w:val="none"/>
          <w:left w:val="single" w:color="000000" w:themeColor="accent6" w:themeTint="98" w:sz="4" w:space="0"/>
          <w:bottom w:val="none"/>
          <w:right w:val="none"/>
        </w:tcBorders>
      </w:tcPr>
    </w:tblStylePr>
    <w:tblStylePr w:type="lastRow">
      <w:rPr>
        <w:rFonts w:ascii="Arial" w:hAnsi="Arial"/>
        <w:i/>
        <w:color w:val="b8411b"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b8411b" w:themeColor="accent6" w:themeTint="98" w:themeShade="95"/>
        <w:sz w:val="22"/>
      </w:rPr>
      <w:pPr>
        <w:pBdr/>
        <w:spacing/>
        <w:ind/>
      </w:pPr>
      <w:tblPr>
        <w:tblBorders/>
      </w:tblPr>
      <w:tcPr>
        <w:tcBorders/>
      </w:tcPr>
    </w:tblStylePr>
  </w:style>
  <w:style w:type="table" w:styleId="117">
    <w:name w:val="Lined - Accent"/>
    <w:basedOn w:val="84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8">
    <w:name w:val="Lined - Accent 1"/>
    <w:basedOn w:val="84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2dbe9"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2dbe9"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4c95be"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4c95be"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4c95be"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4c95be"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9">
    <w:name w:val="Lined - Accent 2"/>
    <w:basedOn w:val="84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1f5d0"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1f5d0"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4e172"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4e172"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4e172"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4e172"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0">
    <w:name w:val="Lined - Accent 3"/>
    <w:basedOn w:val="84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ffe9c9"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ffe9c9"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f79300"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f79300"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f79300"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f79300"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1">
    <w:name w:val="Lined - Accent 4"/>
    <w:basedOn w:val="84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6e6e6"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6e6e6"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4b4b4"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4b4b4"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4b4b4"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4b4b4"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2">
    <w:name w:val="Lined - Accent 5"/>
    <w:basedOn w:val="84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fff3cc"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fff3cc" w:themeFill="accent5" w:themeFillTint="34"/>
        <w:tcBorders/>
      </w:tcPr>
    </w:tblStylePr>
    <w:tblStylePr w:type="firstCol">
      <w:rPr>
        <w:rFonts w:ascii="Arial" w:hAnsi="Arial"/>
        <w:color w:val="f2f2f2"/>
        <w:sz w:val="22"/>
      </w:rPr>
      <w:pPr>
        <w:pBdr/>
        <w:spacing/>
        <w:ind/>
      </w:pPr>
      <w:tblPr>
        <w:tblBorders/>
      </w:tblPr>
      <w:tcPr>
        <w:shd w:val="clear" w:color="ffffff" w:themeColor="accent5" w:fill="fec306" w:themeFill="accent5"/>
        <w:tcBorders/>
      </w:tcPr>
    </w:tblStylePr>
    <w:tblStylePr w:type="firstRow">
      <w:rPr>
        <w:rFonts w:ascii="Arial" w:hAnsi="Arial"/>
        <w:color w:val="f2f2f2"/>
        <w:sz w:val="22"/>
      </w:rPr>
      <w:pPr>
        <w:pBdr/>
        <w:spacing/>
        <w:ind/>
      </w:pPr>
      <w:tblPr>
        <w:tblBorders/>
      </w:tblPr>
      <w:tcPr>
        <w:shd w:val="clear" w:color="ffffff" w:themeColor="accent5" w:fill="fec306" w:themeFill="accent5"/>
        <w:tcBorders/>
      </w:tcPr>
    </w:tblStylePr>
    <w:tblStylePr w:type="lastCol">
      <w:rPr>
        <w:rFonts w:ascii="Arial" w:hAnsi="Arial"/>
        <w:color w:val="f2f2f2"/>
        <w:sz w:val="22"/>
      </w:rPr>
      <w:pPr>
        <w:pBdr/>
        <w:spacing/>
        <w:ind/>
      </w:pPr>
      <w:tblPr>
        <w:tblBorders/>
      </w:tblPr>
      <w:tcPr>
        <w:shd w:val="clear" w:color="ffffff" w:themeColor="accent5" w:fill="fec306" w:themeFill="accent5"/>
        <w:tcBorders/>
      </w:tcPr>
    </w:tblStylePr>
    <w:tblStylePr w:type="lastRow">
      <w:rPr>
        <w:rFonts w:ascii="Arial" w:hAnsi="Arial"/>
        <w:color w:val="f2f2f2"/>
        <w:sz w:val="22"/>
      </w:rPr>
      <w:pPr>
        <w:pBdr/>
        <w:spacing/>
        <w:ind/>
      </w:pPr>
      <w:tblPr>
        <w:tblBorders/>
      </w:tblPr>
      <w:tcPr>
        <w:shd w:val="clear" w:color="ffffff" w:themeColor="accent5" w:fill="fec30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3">
    <w:name w:val="Lined - Accent 6"/>
    <w:basedOn w:val="84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8dcd3"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8dcd3" w:themeFill="accent6" w:themeFillTint="34"/>
        <w:tcBorders/>
      </w:tcPr>
    </w:tblStylePr>
    <w:tblStylePr w:type="firstCol">
      <w:rPr>
        <w:rFonts w:ascii="Arial" w:hAnsi="Arial"/>
        <w:color w:val="f2f2f2"/>
        <w:sz w:val="22"/>
      </w:rPr>
      <w:pPr>
        <w:pBdr/>
        <w:spacing/>
        <w:ind/>
      </w:pPr>
      <w:tblPr>
        <w:tblBorders/>
      </w:tblPr>
      <w:tcPr>
        <w:shd w:val="clear" w:color="ffffff" w:themeColor="accent6" w:fill="df5327" w:themeFill="accent6"/>
        <w:tcBorders/>
      </w:tcPr>
    </w:tblStylePr>
    <w:tblStylePr w:type="firstRow">
      <w:rPr>
        <w:rFonts w:ascii="Arial" w:hAnsi="Arial"/>
        <w:color w:val="f2f2f2"/>
        <w:sz w:val="22"/>
      </w:rPr>
      <w:pPr>
        <w:pBdr/>
        <w:spacing/>
        <w:ind/>
      </w:pPr>
      <w:tblPr>
        <w:tblBorders/>
      </w:tblPr>
      <w:tcPr>
        <w:shd w:val="clear" w:color="ffffff" w:themeColor="accent6" w:fill="df5327" w:themeFill="accent6"/>
        <w:tcBorders/>
      </w:tcPr>
    </w:tblStylePr>
    <w:tblStylePr w:type="lastCol">
      <w:rPr>
        <w:rFonts w:ascii="Arial" w:hAnsi="Arial"/>
        <w:color w:val="f2f2f2"/>
        <w:sz w:val="22"/>
      </w:rPr>
      <w:pPr>
        <w:pBdr/>
        <w:spacing/>
        <w:ind/>
      </w:pPr>
      <w:tblPr>
        <w:tblBorders/>
      </w:tblPr>
      <w:tcPr>
        <w:shd w:val="clear" w:color="ffffff" w:themeColor="accent6" w:fill="df5327" w:themeFill="accent6"/>
        <w:tcBorders/>
      </w:tcPr>
    </w:tblStylePr>
    <w:tblStylePr w:type="lastRow">
      <w:rPr>
        <w:rFonts w:ascii="Arial" w:hAnsi="Arial"/>
        <w:color w:val="f2f2f2"/>
        <w:sz w:val="22"/>
      </w:rPr>
      <w:pPr>
        <w:pBdr/>
        <w:spacing/>
        <w:ind/>
      </w:pPr>
      <w:tblPr>
        <w:tblBorders/>
      </w:tblPr>
      <w:tcPr>
        <w:shd w:val="clear" w:color="ffffff" w:themeColor="accent6" w:fill="df532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4">
    <w:name w:val="Bordered &amp; Lined - Accent"/>
    <w:basedOn w:val="841"/>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5">
    <w:name w:val="Bordered &amp; Lined - Accent 1"/>
    <w:basedOn w:val="841"/>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2dbe9"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2dbe9"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4c95be"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4c95be"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4c95be"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4c95be"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6">
    <w:name w:val="Bordered &amp; Lined - Accent 2"/>
    <w:basedOn w:val="841"/>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1f5d0"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1f5d0"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4e172"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4e172"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4e172"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4e172"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7">
    <w:name w:val="Bordered &amp; Lined - Accent 3"/>
    <w:basedOn w:val="841"/>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ffe9c9"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ffe9c9"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f79300"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f79300"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f79300"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f79300"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8">
    <w:name w:val="Bordered &amp; Lined - Accent 4"/>
    <w:basedOn w:val="841"/>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6e6e6"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6e6e6"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4b4b4"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4b4b4"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4b4b4"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4b4b4"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9">
    <w:name w:val="Bordered &amp; Lined - Accent 5"/>
    <w:basedOn w:val="841"/>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fff3cc"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fff3cc" w:themeFill="accent5" w:themeFillTint="34"/>
        <w:tcBorders/>
      </w:tcPr>
    </w:tblStylePr>
    <w:tblStylePr w:type="firstCol">
      <w:rPr>
        <w:rFonts w:ascii="Arial" w:hAnsi="Arial"/>
        <w:color w:val="f2f2f2"/>
        <w:sz w:val="22"/>
      </w:rPr>
      <w:pPr>
        <w:pBdr/>
        <w:spacing/>
        <w:ind/>
      </w:pPr>
      <w:tblPr>
        <w:tblBorders/>
      </w:tblPr>
      <w:tcPr>
        <w:shd w:val="clear" w:color="ffffff" w:themeColor="accent5" w:fill="fec306" w:themeFill="accent5"/>
        <w:tcBorders/>
      </w:tcPr>
    </w:tblStylePr>
    <w:tblStylePr w:type="firstRow">
      <w:rPr>
        <w:rFonts w:ascii="Arial" w:hAnsi="Arial"/>
        <w:color w:val="f2f2f2"/>
        <w:sz w:val="22"/>
      </w:rPr>
      <w:pPr>
        <w:pBdr/>
        <w:spacing/>
        <w:ind/>
      </w:pPr>
      <w:tblPr>
        <w:tblBorders/>
      </w:tblPr>
      <w:tcPr>
        <w:shd w:val="clear" w:color="ffffff" w:themeColor="accent5" w:fill="fec306" w:themeFill="accent5"/>
        <w:tcBorders/>
      </w:tcPr>
    </w:tblStylePr>
    <w:tblStylePr w:type="lastCol">
      <w:rPr>
        <w:rFonts w:ascii="Arial" w:hAnsi="Arial"/>
        <w:color w:val="f2f2f2"/>
        <w:sz w:val="22"/>
      </w:rPr>
      <w:pPr>
        <w:pBdr/>
        <w:spacing/>
        <w:ind/>
      </w:pPr>
      <w:tblPr>
        <w:tblBorders/>
      </w:tblPr>
      <w:tcPr>
        <w:shd w:val="clear" w:color="ffffff" w:themeColor="accent5" w:fill="fec306" w:themeFill="accent5"/>
        <w:tcBorders/>
      </w:tcPr>
    </w:tblStylePr>
    <w:tblStylePr w:type="lastRow">
      <w:rPr>
        <w:rFonts w:ascii="Arial" w:hAnsi="Arial"/>
        <w:color w:val="f2f2f2"/>
        <w:sz w:val="22"/>
      </w:rPr>
      <w:pPr>
        <w:pBdr/>
        <w:spacing/>
        <w:ind/>
      </w:pPr>
      <w:tblPr>
        <w:tblBorders/>
      </w:tblPr>
      <w:tcPr>
        <w:shd w:val="clear" w:color="ffffff" w:themeColor="accent5" w:fill="fec30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0">
    <w:name w:val="Bordered &amp; Lined - Accent 6"/>
    <w:basedOn w:val="841"/>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8dcd3"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8dcd3" w:themeFill="accent6" w:themeFillTint="34"/>
        <w:tcBorders/>
      </w:tcPr>
    </w:tblStylePr>
    <w:tblStylePr w:type="firstCol">
      <w:rPr>
        <w:rFonts w:ascii="Arial" w:hAnsi="Arial"/>
        <w:color w:val="f2f2f2"/>
        <w:sz w:val="22"/>
      </w:rPr>
      <w:pPr>
        <w:pBdr/>
        <w:spacing/>
        <w:ind/>
      </w:pPr>
      <w:tblPr>
        <w:tblBorders/>
      </w:tblPr>
      <w:tcPr>
        <w:shd w:val="clear" w:color="ffffff" w:themeColor="accent6" w:fill="df5327" w:themeFill="accent6"/>
        <w:tcBorders/>
      </w:tcPr>
    </w:tblStylePr>
    <w:tblStylePr w:type="firstRow">
      <w:rPr>
        <w:rFonts w:ascii="Arial" w:hAnsi="Arial"/>
        <w:color w:val="f2f2f2"/>
        <w:sz w:val="22"/>
      </w:rPr>
      <w:pPr>
        <w:pBdr/>
        <w:spacing/>
        <w:ind/>
      </w:pPr>
      <w:tblPr>
        <w:tblBorders/>
      </w:tblPr>
      <w:tcPr>
        <w:shd w:val="clear" w:color="ffffff" w:themeColor="accent6" w:fill="df5327" w:themeFill="accent6"/>
        <w:tcBorders/>
      </w:tcPr>
    </w:tblStylePr>
    <w:tblStylePr w:type="lastCol">
      <w:rPr>
        <w:rFonts w:ascii="Arial" w:hAnsi="Arial"/>
        <w:color w:val="f2f2f2"/>
        <w:sz w:val="22"/>
      </w:rPr>
      <w:pPr>
        <w:pBdr/>
        <w:spacing/>
        <w:ind/>
      </w:pPr>
      <w:tblPr>
        <w:tblBorders/>
      </w:tblPr>
      <w:tcPr>
        <w:shd w:val="clear" w:color="ffffff" w:themeColor="accent6" w:fill="df5327" w:themeFill="accent6"/>
        <w:tcBorders/>
      </w:tcPr>
    </w:tblStylePr>
    <w:tblStylePr w:type="lastRow">
      <w:rPr>
        <w:rFonts w:ascii="Arial" w:hAnsi="Arial"/>
        <w:color w:val="f2f2f2"/>
        <w:sz w:val="22"/>
      </w:rPr>
      <w:pPr>
        <w:pBdr/>
        <w:spacing/>
        <w:ind/>
      </w:pPr>
      <w:tblPr>
        <w:tblBorders/>
      </w:tblPr>
      <w:tcPr>
        <w:shd w:val="clear" w:color="ffffff" w:themeColor="accent6" w:fill="df532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1">
    <w:name w:val="Bordered"/>
    <w:basedOn w:val="841"/>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2">
    <w:name w:val="Bordered - Accent 1"/>
    <w:basedOn w:val="841"/>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3">
    <w:name w:val="Bordered - Accent 2"/>
    <w:basedOn w:val="841"/>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4">
    <w:name w:val="Bordered - Accent 3"/>
    <w:basedOn w:val="841"/>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5">
    <w:name w:val="Bordered - Accent 4"/>
    <w:basedOn w:val="841"/>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6">
    <w:name w:val="Bordered - Accent 5"/>
    <w:basedOn w:val="841"/>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7">
    <w:name w:val="Bordered - Accent 6"/>
    <w:basedOn w:val="841"/>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39">
    <w:name w:val="Heading 1"/>
    <w:basedOn w:val="839"/>
    <w:next w:val="839"/>
    <w:link w:val="150"/>
    <w:uiPriority w:val="9"/>
    <w:qFormat/>
    <w:pPr>
      <w:keepNext w:val="true"/>
      <w:keepLines w:val="true"/>
      <w:pBdr/>
      <w:spacing w:after="80" w:before="360"/>
      <w:ind/>
      <w:outlineLvl w:val="0"/>
    </w:pPr>
    <w:rPr>
      <w:rFonts w:ascii="Arial" w:hAnsi="Arial" w:eastAsia="Arial" w:cs="Arial"/>
      <w:color w:val="0f4761" w:themeColor="accent1" w:themeShade="BF"/>
      <w:sz w:val="40"/>
      <w:szCs w:val="40"/>
    </w:rPr>
  </w:style>
  <w:style w:type="paragraph" w:styleId="140">
    <w:name w:val="Heading 2"/>
    <w:basedOn w:val="839"/>
    <w:next w:val="839"/>
    <w:link w:val="151"/>
    <w:uiPriority w:val="9"/>
    <w:unhideWhenUsed/>
    <w:qFormat/>
    <w:pPr>
      <w:keepNext w:val="true"/>
      <w:keepLines w:val="true"/>
      <w:pBdr/>
      <w:spacing w:after="80" w:before="160"/>
      <w:ind/>
      <w:outlineLvl w:val="1"/>
    </w:pPr>
    <w:rPr>
      <w:rFonts w:ascii="Arial" w:hAnsi="Arial" w:eastAsia="Arial" w:cs="Arial"/>
      <w:color w:val="0f4761" w:themeColor="accent1" w:themeShade="BF"/>
      <w:sz w:val="32"/>
      <w:szCs w:val="32"/>
    </w:rPr>
  </w:style>
  <w:style w:type="paragraph" w:styleId="141">
    <w:name w:val="Heading 3"/>
    <w:basedOn w:val="839"/>
    <w:next w:val="839"/>
    <w:link w:val="152"/>
    <w:uiPriority w:val="9"/>
    <w:unhideWhenUsed/>
    <w:qFormat/>
    <w:pPr>
      <w:keepNext w:val="true"/>
      <w:keepLines w:val="true"/>
      <w:pBdr/>
      <w:spacing w:after="80" w:before="160"/>
      <w:ind/>
      <w:outlineLvl w:val="2"/>
    </w:pPr>
    <w:rPr>
      <w:rFonts w:ascii="Arial" w:hAnsi="Arial" w:eastAsia="Arial" w:cs="Arial"/>
      <w:color w:val="0f4761" w:themeColor="accent1" w:themeShade="BF"/>
      <w:sz w:val="28"/>
      <w:szCs w:val="28"/>
    </w:rPr>
  </w:style>
  <w:style w:type="paragraph" w:styleId="142">
    <w:name w:val="Heading 4"/>
    <w:basedOn w:val="839"/>
    <w:next w:val="839"/>
    <w:link w:val="153"/>
    <w:uiPriority w:val="9"/>
    <w:unhideWhenUsed/>
    <w:qFormat/>
    <w:pPr>
      <w:keepNext w:val="true"/>
      <w:keepLines w:val="true"/>
      <w:pBdr/>
      <w:spacing w:after="40" w:before="80"/>
      <w:ind/>
      <w:outlineLvl w:val="3"/>
    </w:pPr>
    <w:rPr>
      <w:rFonts w:ascii="Arial" w:hAnsi="Arial" w:eastAsia="Arial" w:cs="Arial"/>
      <w:i/>
      <w:iCs/>
      <w:color w:val="0f4761" w:themeColor="accent1" w:themeShade="BF"/>
    </w:rPr>
  </w:style>
  <w:style w:type="paragraph" w:styleId="143">
    <w:name w:val="Heading 5"/>
    <w:basedOn w:val="839"/>
    <w:next w:val="839"/>
    <w:link w:val="154"/>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144">
    <w:name w:val="Heading 6"/>
    <w:basedOn w:val="839"/>
    <w:next w:val="839"/>
    <w:link w:val="155"/>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145">
    <w:name w:val="Heading 7"/>
    <w:basedOn w:val="839"/>
    <w:next w:val="839"/>
    <w:link w:val="156"/>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146">
    <w:name w:val="Heading 8"/>
    <w:basedOn w:val="839"/>
    <w:next w:val="839"/>
    <w:link w:val="157"/>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147">
    <w:name w:val="Heading 9"/>
    <w:basedOn w:val="839"/>
    <w:next w:val="839"/>
    <w:link w:val="158"/>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150">
    <w:name w:val="Heading 1 Char"/>
    <w:basedOn w:val="840"/>
    <w:link w:val="139"/>
    <w:uiPriority w:val="9"/>
    <w:pPr>
      <w:pBdr/>
      <w:spacing/>
      <w:ind/>
    </w:pPr>
    <w:rPr>
      <w:rFonts w:ascii="Arial" w:hAnsi="Arial" w:eastAsia="Arial" w:cs="Arial"/>
      <w:color w:val="0f4761" w:themeColor="accent1" w:themeShade="BF"/>
      <w:sz w:val="40"/>
      <w:szCs w:val="40"/>
    </w:rPr>
  </w:style>
  <w:style w:type="character" w:styleId="151">
    <w:name w:val="Heading 2 Char"/>
    <w:basedOn w:val="840"/>
    <w:link w:val="140"/>
    <w:uiPriority w:val="9"/>
    <w:pPr>
      <w:pBdr/>
      <w:spacing/>
      <w:ind/>
    </w:pPr>
    <w:rPr>
      <w:rFonts w:ascii="Arial" w:hAnsi="Arial" w:eastAsia="Arial" w:cs="Arial"/>
      <w:color w:val="0f4761" w:themeColor="accent1" w:themeShade="BF"/>
      <w:sz w:val="32"/>
      <w:szCs w:val="32"/>
    </w:rPr>
  </w:style>
  <w:style w:type="character" w:styleId="152">
    <w:name w:val="Heading 3 Char"/>
    <w:basedOn w:val="840"/>
    <w:link w:val="141"/>
    <w:uiPriority w:val="9"/>
    <w:pPr>
      <w:pBdr/>
      <w:spacing/>
      <w:ind/>
    </w:pPr>
    <w:rPr>
      <w:rFonts w:ascii="Arial" w:hAnsi="Arial" w:eastAsia="Arial" w:cs="Arial"/>
      <w:color w:val="0f4761" w:themeColor="accent1" w:themeShade="BF"/>
      <w:sz w:val="28"/>
      <w:szCs w:val="28"/>
    </w:rPr>
  </w:style>
  <w:style w:type="character" w:styleId="153">
    <w:name w:val="Heading 4 Char"/>
    <w:basedOn w:val="840"/>
    <w:link w:val="142"/>
    <w:uiPriority w:val="9"/>
    <w:pPr>
      <w:pBdr/>
      <w:spacing/>
      <w:ind/>
    </w:pPr>
    <w:rPr>
      <w:rFonts w:ascii="Arial" w:hAnsi="Arial" w:eastAsia="Arial" w:cs="Arial"/>
      <w:i/>
      <w:iCs/>
      <w:color w:val="0f4761" w:themeColor="accent1" w:themeShade="BF"/>
    </w:rPr>
  </w:style>
  <w:style w:type="character" w:styleId="154">
    <w:name w:val="Heading 5 Char"/>
    <w:basedOn w:val="840"/>
    <w:link w:val="143"/>
    <w:uiPriority w:val="9"/>
    <w:pPr>
      <w:pBdr/>
      <w:spacing/>
      <w:ind/>
    </w:pPr>
    <w:rPr>
      <w:rFonts w:ascii="Arial" w:hAnsi="Arial" w:eastAsia="Arial" w:cs="Arial"/>
      <w:color w:val="0f4761" w:themeColor="accent1" w:themeShade="BF"/>
    </w:rPr>
  </w:style>
  <w:style w:type="character" w:styleId="155">
    <w:name w:val="Heading 6 Char"/>
    <w:basedOn w:val="840"/>
    <w:link w:val="144"/>
    <w:uiPriority w:val="9"/>
    <w:pPr>
      <w:pBdr/>
      <w:spacing/>
      <w:ind/>
    </w:pPr>
    <w:rPr>
      <w:rFonts w:ascii="Arial" w:hAnsi="Arial" w:eastAsia="Arial" w:cs="Arial"/>
      <w:i/>
      <w:iCs/>
      <w:color w:val="595959" w:themeColor="text1" w:themeTint="A6"/>
    </w:rPr>
  </w:style>
  <w:style w:type="character" w:styleId="156">
    <w:name w:val="Heading 7 Char"/>
    <w:basedOn w:val="840"/>
    <w:link w:val="145"/>
    <w:uiPriority w:val="9"/>
    <w:pPr>
      <w:pBdr/>
      <w:spacing/>
      <w:ind/>
    </w:pPr>
    <w:rPr>
      <w:rFonts w:ascii="Arial" w:hAnsi="Arial" w:eastAsia="Arial" w:cs="Arial"/>
      <w:color w:val="595959" w:themeColor="text1" w:themeTint="A6"/>
    </w:rPr>
  </w:style>
  <w:style w:type="character" w:styleId="157">
    <w:name w:val="Heading 8 Char"/>
    <w:basedOn w:val="840"/>
    <w:link w:val="146"/>
    <w:uiPriority w:val="9"/>
    <w:pPr>
      <w:pBdr/>
      <w:spacing/>
      <w:ind/>
    </w:pPr>
    <w:rPr>
      <w:rFonts w:ascii="Arial" w:hAnsi="Arial" w:eastAsia="Arial" w:cs="Arial"/>
      <w:i/>
      <w:iCs/>
      <w:color w:val="272727" w:themeColor="text1" w:themeTint="D8"/>
    </w:rPr>
  </w:style>
  <w:style w:type="character" w:styleId="158">
    <w:name w:val="Heading 9 Char"/>
    <w:basedOn w:val="840"/>
    <w:link w:val="147"/>
    <w:uiPriority w:val="9"/>
    <w:pPr>
      <w:pBdr/>
      <w:spacing/>
      <w:ind/>
    </w:pPr>
    <w:rPr>
      <w:rFonts w:ascii="Arial" w:hAnsi="Arial" w:eastAsia="Arial" w:cs="Arial"/>
      <w:i/>
      <w:iCs/>
      <w:color w:val="272727" w:themeColor="text1" w:themeTint="D8"/>
    </w:rPr>
  </w:style>
  <w:style w:type="paragraph" w:styleId="159">
    <w:name w:val="Title"/>
    <w:basedOn w:val="839"/>
    <w:next w:val="839"/>
    <w:link w:val="160"/>
    <w:uiPriority w:val="10"/>
    <w:qFormat/>
    <w:pPr>
      <w:pBdr/>
      <w:spacing w:after="80" w:line="240" w:lineRule="auto"/>
      <w:ind/>
      <w:contextualSpacing w:val="true"/>
    </w:pPr>
    <w:rPr>
      <w:rFonts w:ascii="Arial" w:hAnsi="Arial" w:eastAsia="Arial" w:cs="Arial"/>
      <w:spacing w:val="-10"/>
      <w:sz w:val="56"/>
      <w:szCs w:val="56"/>
    </w:rPr>
  </w:style>
  <w:style w:type="character" w:styleId="160">
    <w:name w:val="Title Char"/>
    <w:basedOn w:val="840"/>
    <w:link w:val="159"/>
    <w:uiPriority w:val="10"/>
    <w:pPr>
      <w:pBdr/>
      <w:spacing/>
      <w:ind/>
    </w:pPr>
    <w:rPr>
      <w:rFonts w:ascii="Arial" w:hAnsi="Arial" w:eastAsia="Arial" w:cs="Arial"/>
      <w:spacing w:val="-10"/>
      <w:sz w:val="56"/>
      <w:szCs w:val="56"/>
    </w:rPr>
  </w:style>
  <w:style w:type="paragraph" w:styleId="161">
    <w:name w:val="Subtitle"/>
    <w:basedOn w:val="839"/>
    <w:next w:val="839"/>
    <w:link w:val="162"/>
    <w:uiPriority w:val="11"/>
    <w:qFormat/>
    <w:pPr>
      <w:numPr>
        <w:ilvl w:val="1"/>
      </w:numPr>
      <w:pBdr/>
      <w:spacing/>
      <w:ind/>
    </w:pPr>
    <w:rPr>
      <w:color w:val="595959" w:themeColor="text1" w:themeTint="A6"/>
      <w:spacing w:val="15"/>
      <w:sz w:val="28"/>
      <w:szCs w:val="28"/>
    </w:rPr>
  </w:style>
  <w:style w:type="character" w:styleId="162">
    <w:name w:val="Subtitle Char"/>
    <w:basedOn w:val="840"/>
    <w:link w:val="161"/>
    <w:uiPriority w:val="11"/>
    <w:pPr>
      <w:pBdr/>
      <w:spacing/>
      <w:ind/>
    </w:pPr>
    <w:rPr>
      <w:color w:val="595959" w:themeColor="text1" w:themeTint="A6"/>
      <w:spacing w:val="15"/>
      <w:sz w:val="28"/>
      <w:szCs w:val="28"/>
    </w:rPr>
  </w:style>
  <w:style w:type="paragraph" w:styleId="163">
    <w:name w:val="Quote"/>
    <w:basedOn w:val="839"/>
    <w:next w:val="839"/>
    <w:link w:val="164"/>
    <w:uiPriority w:val="29"/>
    <w:qFormat/>
    <w:pPr>
      <w:pBdr/>
      <w:spacing w:before="160"/>
      <w:ind/>
      <w:jc w:val="center"/>
    </w:pPr>
    <w:rPr>
      <w:i/>
      <w:iCs/>
      <w:color w:val="404040" w:themeColor="text1" w:themeTint="BF"/>
    </w:rPr>
  </w:style>
  <w:style w:type="character" w:styleId="164">
    <w:name w:val="Quote Char"/>
    <w:basedOn w:val="840"/>
    <w:link w:val="163"/>
    <w:uiPriority w:val="29"/>
    <w:pPr>
      <w:pBdr/>
      <w:spacing/>
      <w:ind/>
    </w:pPr>
    <w:rPr>
      <w:i/>
      <w:iCs/>
      <w:color w:val="404040" w:themeColor="text1" w:themeTint="BF"/>
    </w:rPr>
  </w:style>
  <w:style w:type="paragraph" w:styleId="165">
    <w:name w:val="List Paragraph"/>
    <w:basedOn w:val="839"/>
    <w:uiPriority w:val="34"/>
    <w:qFormat/>
    <w:pPr>
      <w:pBdr/>
      <w:spacing/>
      <w:ind w:left="720"/>
      <w:contextualSpacing w:val="true"/>
    </w:pPr>
  </w:style>
  <w:style w:type="character" w:styleId="166">
    <w:name w:val="Intense Emphasis"/>
    <w:basedOn w:val="840"/>
    <w:uiPriority w:val="21"/>
    <w:qFormat/>
    <w:pPr>
      <w:pBdr/>
      <w:spacing/>
      <w:ind/>
    </w:pPr>
    <w:rPr>
      <w:i/>
      <w:iCs/>
      <w:color w:val="0f4761" w:themeColor="accent1" w:themeShade="BF"/>
    </w:rPr>
  </w:style>
  <w:style w:type="paragraph" w:styleId="167">
    <w:name w:val="Intense Quote"/>
    <w:basedOn w:val="839"/>
    <w:next w:val="839"/>
    <w:link w:val="16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168">
    <w:name w:val="Intense Quote Char"/>
    <w:basedOn w:val="840"/>
    <w:link w:val="167"/>
    <w:uiPriority w:val="30"/>
    <w:pPr>
      <w:pBdr/>
      <w:spacing/>
      <w:ind/>
    </w:pPr>
    <w:rPr>
      <w:i/>
      <w:iCs/>
      <w:color w:val="0f4761" w:themeColor="accent1" w:themeShade="BF"/>
    </w:rPr>
  </w:style>
  <w:style w:type="character" w:styleId="169">
    <w:name w:val="Intense Reference"/>
    <w:basedOn w:val="840"/>
    <w:uiPriority w:val="32"/>
    <w:qFormat/>
    <w:pPr>
      <w:pBdr/>
      <w:spacing/>
      <w:ind/>
    </w:pPr>
    <w:rPr>
      <w:b/>
      <w:bCs/>
      <w:smallCaps/>
      <w:color w:val="0f4761" w:themeColor="accent1" w:themeShade="BF"/>
      <w:spacing w:val="5"/>
    </w:rPr>
  </w:style>
  <w:style w:type="paragraph" w:styleId="170">
    <w:name w:val="No Spacing"/>
    <w:basedOn w:val="839"/>
    <w:uiPriority w:val="1"/>
    <w:qFormat/>
    <w:pPr>
      <w:pBdr/>
      <w:spacing w:after="0" w:line="240" w:lineRule="auto"/>
      <w:ind/>
    </w:pPr>
  </w:style>
  <w:style w:type="character" w:styleId="171">
    <w:name w:val="Subtle Emphasis"/>
    <w:basedOn w:val="840"/>
    <w:uiPriority w:val="19"/>
    <w:qFormat/>
    <w:pPr>
      <w:pBdr/>
      <w:spacing/>
      <w:ind/>
    </w:pPr>
    <w:rPr>
      <w:i/>
      <w:iCs/>
      <w:color w:val="404040" w:themeColor="text1" w:themeTint="BF"/>
    </w:rPr>
  </w:style>
  <w:style w:type="character" w:styleId="172">
    <w:name w:val="Emphasis"/>
    <w:basedOn w:val="840"/>
    <w:uiPriority w:val="20"/>
    <w:qFormat/>
    <w:pPr>
      <w:pBdr/>
      <w:spacing/>
      <w:ind/>
    </w:pPr>
    <w:rPr>
      <w:i/>
      <w:iCs/>
    </w:rPr>
  </w:style>
  <w:style w:type="character" w:styleId="173">
    <w:name w:val="Strong"/>
    <w:basedOn w:val="840"/>
    <w:uiPriority w:val="22"/>
    <w:qFormat/>
    <w:pPr>
      <w:pBdr/>
      <w:spacing/>
      <w:ind/>
    </w:pPr>
    <w:rPr>
      <w:b/>
      <w:bCs/>
    </w:rPr>
  </w:style>
  <w:style w:type="character" w:styleId="174">
    <w:name w:val="Subtle Reference"/>
    <w:basedOn w:val="840"/>
    <w:uiPriority w:val="31"/>
    <w:qFormat/>
    <w:pPr>
      <w:pBdr/>
      <w:spacing/>
      <w:ind/>
    </w:pPr>
    <w:rPr>
      <w:smallCaps/>
      <w:color w:val="5a5a5a" w:themeColor="text1" w:themeTint="A5"/>
    </w:rPr>
  </w:style>
  <w:style w:type="character" w:styleId="175">
    <w:name w:val="Book Title"/>
    <w:basedOn w:val="840"/>
    <w:uiPriority w:val="33"/>
    <w:qFormat/>
    <w:pPr>
      <w:pBdr/>
      <w:spacing/>
      <w:ind/>
    </w:pPr>
    <w:rPr>
      <w:b/>
      <w:bCs/>
      <w:i/>
      <w:iCs/>
      <w:spacing w:val="5"/>
    </w:rPr>
  </w:style>
  <w:style w:type="character" w:styleId="177">
    <w:name w:val="Header Char"/>
    <w:basedOn w:val="840"/>
    <w:link w:val="843"/>
    <w:uiPriority w:val="99"/>
    <w:pPr>
      <w:pBdr/>
      <w:spacing/>
      <w:ind/>
    </w:pPr>
  </w:style>
  <w:style w:type="character" w:styleId="179">
    <w:name w:val="Footer Char"/>
    <w:basedOn w:val="840"/>
    <w:link w:val="845"/>
    <w:uiPriority w:val="99"/>
    <w:pPr>
      <w:pBdr/>
      <w:spacing/>
      <w:ind/>
    </w:pPr>
  </w:style>
  <w:style w:type="paragraph" w:styleId="180">
    <w:name w:val="Caption"/>
    <w:basedOn w:val="839"/>
    <w:next w:val="839"/>
    <w:uiPriority w:val="35"/>
    <w:unhideWhenUsed/>
    <w:qFormat/>
    <w:pPr>
      <w:pBdr/>
      <w:spacing w:after="200" w:line="240" w:lineRule="auto"/>
      <w:ind/>
    </w:pPr>
    <w:rPr>
      <w:i/>
      <w:iCs/>
      <w:color w:val="0e2841" w:themeColor="text2"/>
      <w:sz w:val="18"/>
      <w:szCs w:val="18"/>
    </w:rPr>
  </w:style>
  <w:style w:type="character" w:styleId="182">
    <w:name w:val="Footnote Text Char"/>
    <w:basedOn w:val="840"/>
    <w:link w:val="849"/>
    <w:uiPriority w:val="99"/>
    <w:semiHidden/>
    <w:pPr>
      <w:pBdr/>
      <w:spacing/>
      <w:ind/>
    </w:pPr>
    <w:rPr>
      <w:sz w:val="20"/>
      <w:szCs w:val="20"/>
    </w:rPr>
  </w:style>
  <w:style w:type="paragraph" w:styleId="184">
    <w:name w:val="endnote text"/>
    <w:basedOn w:val="839"/>
    <w:link w:val="185"/>
    <w:uiPriority w:val="99"/>
    <w:semiHidden/>
    <w:unhideWhenUsed/>
    <w:pPr>
      <w:pBdr/>
      <w:spacing w:after="0" w:line="240" w:lineRule="auto"/>
      <w:ind/>
    </w:pPr>
    <w:rPr>
      <w:sz w:val="20"/>
      <w:szCs w:val="20"/>
    </w:rPr>
  </w:style>
  <w:style w:type="character" w:styleId="185">
    <w:name w:val="Endnote Text Char"/>
    <w:basedOn w:val="840"/>
    <w:link w:val="184"/>
    <w:uiPriority w:val="99"/>
    <w:semiHidden/>
    <w:pPr>
      <w:pBdr/>
      <w:spacing/>
      <w:ind/>
    </w:pPr>
    <w:rPr>
      <w:sz w:val="20"/>
      <w:szCs w:val="20"/>
    </w:rPr>
  </w:style>
  <w:style w:type="character" w:styleId="186">
    <w:name w:val="endnote reference"/>
    <w:basedOn w:val="840"/>
    <w:uiPriority w:val="99"/>
    <w:semiHidden/>
    <w:unhideWhenUsed/>
    <w:pPr>
      <w:pBdr/>
      <w:spacing/>
      <w:ind/>
    </w:pPr>
    <w:rPr>
      <w:vertAlign w:val="superscript"/>
    </w:rPr>
  </w:style>
  <w:style w:type="character" w:styleId="188">
    <w:name w:val="FollowedHyperlink"/>
    <w:basedOn w:val="840"/>
    <w:uiPriority w:val="99"/>
    <w:semiHidden/>
    <w:unhideWhenUsed/>
    <w:pPr>
      <w:pBdr/>
      <w:spacing/>
      <w:ind/>
    </w:pPr>
    <w:rPr>
      <w:color w:val="954f72" w:themeColor="followedHyperlink"/>
      <w:u w:val="single"/>
    </w:rPr>
  </w:style>
  <w:style w:type="paragraph" w:styleId="189">
    <w:name w:val="toc 1"/>
    <w:basedOn w:val="839"/>
    <w:next w:val="839"/>
    <w:uiPriority w:val="39"/>
    <w:unhideWhenUsed/>
    <w:pPr>
      <w:pBdr/>
      <w:spacing w:after="100"/>
      <w:ind/>
    </w:pPr>
  </w:style>
  <w:style w:type="paragraph" w:styleId="190">
    <w:name w:val="toc 2"/>
    <w:basedOn w:val="839"/>
    <w:next w:val="839"/>
    <w:uiPriority w:val="39"/>
    <w:unhideWhenUsed/>
    <w:pPr>
      <w:pBdr/>
      <w:spacing w:after="100"/>
      <w:ind w:left="220"/>
    </w:pPr>
  </w:style>
  <w:style w:type="paragraph" w:styleId="191">
    <w:name w:val="toc 3"/>
    <w:basedOn w:val="839"/>
    <w:next w:val="839"/>
    <w:uiPriority w:val="39"/>
    <w:unhideWhenUsed/>
    <w:pPr>
      <w:pBdr/>
      <w:spacing w:after="100"/>
      <w:ind w:left="440"/>
    </w:pPr>
  </w:style>
  <w:style w:type="paragraph" w:styleId="192">
    <w:name w:val="toc 4"/>
    <w:basedOn w:val="839"/>
    <w:next w:val="839"/>
    <w:uiPriority w:val="39"/>
    <w:unhideWhenUsed/>
    <w:pPr>
      <w:pBdr/>
      <w:spacing w:after="100"/>
      <w:ind w:left="660"/>
    </w:pPr>
  </w:style>
  <w:style w:type="paragraph" w:styleId="193">
    <w:name w:val="toc 5"/>
    <w:basedOn w:val="839"/>
    <w:next w:val="839"/>
    <w:uiPriority w:val="39"/>
    <w:unhideWhenUsed/>
    <w:pPr>
      <w:pBdr/>
      <w:spacing w:after="100"/>
      <w:ind w:left="880"/>
    </w:pPr>
  </w:style>
  <w:style w:type="paragraph" w:styleId="194">
    <w:name w:val="toc 6"/>
    <w:basedOn w:val="839"/>
    <w:next w:val="839"/>
    <w:uiPriority w:val="39"/>
    <w:unhideWhenUsed/>
    <w:pPr>
      <w:pBdr/>
      <w:spacing w:after="100"/>
      <w:ind w:left="1100"/>
    </w:pPr>
  </w:style>
  <w:style w:type="paragraph" w:styleId="195">
    <w:name w:val="toc 7"/>
    <w:basedOn w:val="839"/>
    <w:next w:val="839"/>
    <w:uiPriority w:val="39"/>
    <w:unhideWhenUsed/>
    <w:pPr>
      <w:pBdr/>
      <w:spacing w:after="100"/>
      <w:ind w:left="1320"/>
    </w:pPr>
  </w:style>
  <w:style w:type="paragraph" w:styleId="196">
    <w:name w:val="toc 8"/>
    <w:basedOn w:val="839"/>
    <w:next w:val="839"/>
    <w:uiPriority w:val="39"/>
    <w:unhideWhenUsed/>
    <w:pPr>
      <w:pBdr/>
      <w:spacing w:after="100"/>
      <w:ind w:left="1540"/>
    </w:pPr>
  </w:style>
  <w:style w:type="paragraph" w:styleId="197">
    <w:name w:val="toc 9"/>
    <w:basedOn w:val="839"/>
    <w:next w:val="839"/>
    <w:uiPriority w:val="39"/>
    <w:unhideWhenUsed/>
    <w:pPr>
      <w:pBdr/>
      <w:spacing w:after="100"/>
      <w:ind w:left="1760"/>
    </w:pPr>
  </w:style>
  <w:style w:type="character" w:styleId="198">
    <w:name w:val="Placeholder Text"/>
    <w:basedOn w:val="840"/>
    <w:uiPriority w:val="99"/>
    <w:semiHidden/>
    <w:pPr>
      <w:pBdr/>
      <w:spacing/>
      <w:ind/>
    </w:pPr>
    <w:rPr>
      <w:color w:val="666666"/>
    </w:rPr>
  </w:style>
  <w:style w:type="paragraph" w:styleId="208">
    <w:name w:val="TOC Heading"/>
    <w:uiPriority w:val="39"/>
    <w:unhideWhenUsed/>
    <w:pPr>
      <w:pBdr/>
      <w:spacing/>
      <w:ind/>
    </w:pPr>
  </w:style>
  <w:style w:type="paragraph" w:styleId="209">
    <w:name w:val="table of figures"/>
    <w:basedOn w:val="839"/>
    <w:next w:val="839"/>
    <w:uiPriority w:val="99"/>
    <w:unhideWhenUsed/>
    <w:pPr>
      <w:pBdr/>
      <w:spacing w:after="0" w:afterAutospacing="0"/>
      <w:ind/>
    </w:pPr>
  </w:style>
  <w:style w:type="paragraph" w:styleId="839" w:default="1">
    <w:name w:val="Normal"/>
    <w:qFormat/>
    <w:pPr>
      <w:pBdr/>
      <w:spacing/>
      <w:ind/>
    </w:pPr>
  </w:style>
  <w:style w:type="character" w:styleId="840" w:default="1">
    <w:name w:val="Default Paragraph Font"/>
    <w:uiPriority w:val="1"/>
    <w:semiHidden/>
    <w:unhideWhenUsed/>
    <w:pPr>
      <w:pBdr/>
      <w:spacing/>
      <w:ind/>
    </w:pPr>
  </w:style>
  <w:style w:type="table" w:styleId="841"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842" w:default="1">
    <w:name w:val="No List"/>
    <w:uiPriority w:val="99"/>
    <w:semiHidden/>
    <w:unhideWhenUsed/>
    <w:pPr>
      <w:pBdr/>
      <w:spacing/>
      <w:ind/>
    </w:pPr>
  </w:style>
  <w:style w:type="paragraph" w:styleId="843">
    <w:name w:val="Header"/>
    <w:basedOn w:val="839"/>
    <w:link w:val="844"/>
    <w:uiPriority w:val="99"/>
    <w:unhideWhenUsed/>
    <w:pPr>
      <w:pBdr/>
      <w:tabs>
        <w:tab w:val="center" w:leader="none" w:pos="4252"/>
        <w:tab w:val="right" w:leader="none" w:pos="8504"/>
      </w:tabs>
      <w:spacing w:after="0" w:line="240" w:lineRule="auto"/>
      <w:ind/>
    </w:pPr>
  </w:style>
  <w:style w:type="character" w:styleId="844" w:customStyle="1">
    <w:name w:val="Cabeçalho Char"/>
    <w:basedOn w:val="840"/>
    <w:link w:val="843"/>
    <w:uiPriority w:val="99"/>
    <w:pPr>
      <w:pBdr/>
      <w:spacing/>
      <w:ind/>
    </w:pPr>
  </w:style>
  <w:style w:type="paragraph" w:styleId="845">
    <w:name w:val="Footer"/>
    <w:basedOn w:val="839"/>
    <w:link w:val="846"/>
    <w:uiPriority w:val="99"/>
    <w:unhideWhenUsed/>
    <w:pPr>
      <w:pBdr/>
      <w:tabs>
        <w:tab w:val="center" w:leader="none" w:pos="4252"/>
        <w:tab w:val="right" w:leader="none" w:pos="8504"/>
      </w:tabs>
      <w:spacing w:after="0" w:line="240" w:lineRule="auto"/>
      <w:ind/>
    </w:pPr>
  </w:style>
  <w:style w:type="character" w:styleId="846" w:customStyle="1">
    <w:name w:val="Rodapé Char"/>
    <w:basedOn w:val="840"/>
    <w:link w:val="845"/>
    <w:uiPriority w:val="99"/>
    <w:pPr>
      <w:pBdr/>
      <w:spacing/>
      <w:ind/>
    </w:pPr>
  </w:style>
  <w:style w:type="character" w:styleId="847">
    <w:name w:val="Hyperlink"/>
    <w:basedOn w:val="840"/>
    <w:uiPriority w:val="99"/>
    <w:unhideWhenUsed/>
    <w:pPr>
      <w:pBdr/>
      <w:spacing/>
      <w:ind/>
    </w:pPr>
    <w:rPr>
      <w:color w:val="f59e00" w:themeColor="hyperlink"/>
      <w:u w:val="single"/>
    </w:rPr>
  </w:style>
  <w:style w:type="character" w:styleId="848">
    <w:name w:val="Unresolved Mention"/>
    <w:basedOn w:val="840"/>
    <w:uiPriority w:val="99"/>
    <w:semiHidden/>
    <w:unhideWhenUsed/>
    <w:pPr>
      <w:pBdr/>
      <w:spacing/>
      <w:ind/>
    </w:pPr>
    <w:rPr>
      <w:color w:val="605e5c"/>
      <w:shd w:val="clear" w:color="auto" w:fill="e1dfdd"/>
    </w:rPr>
  </w:style>
  <w:style w:type="paragraph" w:styleId="849">
    <w:name w:val="footnote text"/>
    <w:basedOn w:val="839"/>
    <w:link w:val="850"/>
    <w:uiPriority w:val="99"/>
    <w:semiHidden/>
    <w:unhideWhenUsed/>
    <w:pPr>
      <w:pBdr/>
      <w:spacing w:after="0" w:line="240" w:lineRule="auto"/>
      <w:ind/>
    </w:pPr>
    <w:rPr>
      <w:sz w:val="20"/>
      <w:szCs w:val="20"/>
    </w:rPr>
  </w:style>
  <w:style w:type="character" w:styleId="850" w:customStyle="1">
    <w:name w:val="Texto de nota de rodapé Char"/>
    <w:basedOn w:val="840"/>
    <w:link w:val="849"/>
    <w:uiPriority w:val="99"/>
    <w:semiHidden/>
    <w:pPr>
      <w:pBdr/>
      <w:spacing/>
      <w:ind/>
    </w:pPr>
    <w:rPr>
      <w:sz w:val="20"/>
      <w:szCs w:val="20"/>
    </w:rPr>
  </w:style>
  <w:style w:type="character" w:styleId="851">
    <w:name w:val="footnote reference"/>
    <w:basedOn w:val="840"/>
    <w:uiPriority w:val="99"/>
    <w:semiHidden/>
    <w:unhideWhenUsed/>
    <w:pPr>
      <w:pBdr/>
      <w:spacing/>
      <w:ind/>
    </w:pPr>
    <w:rPr>
      <w:vertAlign w:val="superscript"/>
    </w:rPr>
  </w:style>
  <w:style w:type="table" w:styleId="852">
    <w:name w:val="Table Grid"/>
    <w:basedOn w:val="841"/>
    <w:uiPriority w:val="3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853">
    <w:name w:val="Body Text"/>
    <w:basedOn w:val="839"/>
    <w:link w:val="854"/>
    <w:uiPriority w:val="1"/>
    <w:qFormat/>
    <w:pPr>
      <w:widowControl w:val="false"/>
      <w:pBdr/>
      <w:spacing w:after="0" w:line="240" w:lineRule="auto"/>
      <w:ind/>
    </w:pPr>
    <w:rPr>
      <w:rFonts w:ascii="Times New Roman" w:hAnsi="Times New Roman" w:eastAsia="Times New Roman" w:cs="Times New Roman"/>
      <w:sz w:val="24"/>
      <w:szCs w:val="24"/>
      <w:lang w:val="pt-PT"/>
    </w:rPr>
  </w:style>
  <w:style w:type="character" w:styleId="854" w:customStyle="1">
    <w:name w:val="Corpo de texto Char"/>
    <w:basedOn w:val="840"/>
    <w:link w:val="853"/>
    <w:uiPriority w:val="1"/>
    <w:pPr>
      <w:pBdr/>
      <w:spacing/>
      <w:ind/>
    </w:pPr>
    <w:rPr>
      <w:rFonts w:ascii="Times New Roman" w:hAnsi="Times New Roman" w:eastAsia="Times New Roman" w:cs="Times New Roman"/>
      <w:sz w:val="24"/>
      <w:szCs w:val="24"/>
      <w:lang w:val="pt-PT"/>
    </w:rPr>
  </w:style>
  <w:style w:type="character" w:styleId="855">
    <w:name w:val="annotation reference"/>
    <w:basedOn w:val="840"/>
    <w:uiPriority w:val="99"/>
    <w:pPr>
      <w:pBdr/>
      <w:spacing/>
      <w:ind/>
    </w:pPr>
    <w:rPr>
      <w:rFonts w:cs="Times New Roman"/>
      <w:sz w:val="16"/>
    </w:rPr>
  </w:style>
  <w:style w:type="paragraph" w:styleId="856">
    <w:name w:val="annotation text"/>
    <w:basedOn w:val="839"/>
    <w:link w:val="857"/>
    <w:uiPriority w:val="99"/>
    <w:semiHidden/>
    <w:unhideWhenUsed/>
    <w:pPr>
      <w:pBdr/>
      <w:spacing w:line="240" w:lineRule="auto"/>
      <w:ind/>
    </w:pPr>
    <w:rPr>
      <w:sz w:val="20"/>
      <w:szCs w:val="20"/>
    </w:rPr>
  </w:style>
  <w:style w:type="character" w:styleId="857" w:customStyle="1">
    <w:name w:val="Texto de comentário Char"/>
    <w:basedOn w:val="840"/>
    <w:link w:val="856"/>
    <w:uiPriority w:val="99"/>
    <w:semiHidden/>
    <w:pPr>
      <w:pBdr/>
      <w:spacing/>
      <w:ind/>
    </w:pPr>
    <w:rPr>
      <w:sz w:val="20"/>
      <w:szCs w:val="20"/>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footnotes" Target="footnotes.xml" /><Relationship Id="rId7" Type="http://schemas.openxmlformats.org/officeDocument/2006/relationships/endnotes" Target="endnotes.xml" /><Relationship Id="rId8" Type="http://schemas.openxmlformats.org/officeDocument/2006/relationships/header" Target="header1.xml" /><Relationship Id="rId9" Type="http://schemas.openxmlformats.org/officeDocument/2006/relationships/footer" Target="footer1.xml" /><Relationship Id="rId10" Type="http://schemas.openxmlformats.org/officeDocument/2006/relationships/customXml" Target="../customXml/item1.xml" /><Relationship Id="rId11" Type="http://schemas.openxmlformats.org/officeDocument/2006/relationships/hyperlink" Target="https://orcid.org/0000-0001-6867-9740" TargetMode="External"/><Relationship Id="rId12" Type="http://schemas.openxmlformats.org/officeDocument/2006/relationships/image" Target="media/image4.png"/><Relationship Id="rId13" Type="http://schemas.openxmlformats.org/officeDocument/2006/relationships/image" Target="media/image5.png"/><Relationship Id="rId14" Type="http://schemas.openxmlformats.org/officeDocument/2006/relationships/image" Target="media/image6.gif"/><Relationship Id="rId15" Type="http://schemas.openxmlformats.org/officeDocument/2006/relationships/image" Target="media/image7.gif"/><Relationship Id="rId16" Type="http://schemas.openxmlformats.org/officeDocument/2006/relationships/image" Target="media/image8.jpg"/><Relationship Id="rId17" Type="http://schemas.openxmlformats.org/officeDocument/2006/relationships/image" Target="media/image9.png"/><Relationship Id="rId18" Type="http://schemas.openxmlformats.org/officeDocument/2006/relationships/image" Target="media/image10.gif"/><Relationship Id="rId19" Type="http://schemas.openxmlformats.org/officeDocument/2006/relationships/image" Target="media/image11.gif"/><Relationship Id="rId20" Type="http://schemas.openxmlformats.org/officeDocument/2006/relationships/chart" Target="charts/chart1.xml" /><Relationship Id="rId21" Type="http://schemas.openxmlformats.org/officeDocument/2006/relationships/chart" Target="charts/chart2.xml" /><Relationship Id="rId22" Type="http://schemas.openxmlformats.org/officeDocument/2006/relationships/hyperlink" Target="https://www.gov.br/mdic/pt-br/assuntos/comercio-exterior" TargetMode="External"/><Relationship Id="rId23" Type="http://schemas.openxmlformats.org/officeDocument/2006/relationships/hyperlink" Target="https://app.powerbi.com/view?r=eyJrIjoiMGJiMmNiNTAtOTY1OC00ZjUzLTg2OGUtMjAzYzNiYTA5YjliIiwidCI6IjI2ZjczODk3LWM4YWMtNGIxZS05NzhmLWVhNGMwNzc0MzRiZiJ9&amp;pageName=ReportSection4036c90b8a27b5f58f54" TargetMode="External"/><Relationship Id="rId24" Type="http://schemas.openxmlformats.org/officeDocument/2006/relationships/hyperlink" Target="https://app.powerbi.com/view?r=eyJrIjoiMGJiMmNiNTAtOTY1OC00ZjUzLTg2OGUtMjAzYzNiYTA5YjliIiwidCI6IjI2ZjczODk3LWM4YWMtNGIxZS05NzhmLWVhNGMwNzc0MzRiZiJ9&amp;pageName=ReportSection4036c90b8a27b5f58f54" TargetMode="External"/><Relationship Id="rId25" Type="http://schemas.openxmlformats.org/officeDocument/2006/relationships/hyperlink" Target="https://www.fazenda.mg.gov.br/governo/assuntos_municipais/vaf/nocoes.html" TargetMode="External"/><Relationship Id="rId26" Type="http://schemas.openxmlformats.org/officeDocument/2006/relationships/hyperlink" Target="https://app.powerbi.com/view?r=eyJrIjoiYWNhN2U1YjYtMDYyYS00ZDk4LWEwYzUtZjczZDUxMGM3OWJkIiwidCI6ImMwZTY1MzllLThjZGUtNDZlNy1hOTc4LWI1YTNmZTlmMGMzOSJ9" TargetMode="External"/><Relationship Id="rId27" Type="http://schemas.openxmlformats.org/officeDocument/2006/relationships/hyperlink" Target="https://datasus.saude.gov.br/cnes-estabelecimentos" TargetMode="External"/><Relationship Id="rId28" Type="http://schemas.openxmlformats.org/officeDocument/2006/relationships/hyperlink" Target="https://datasus.saude.gov.br/cnes-estabelecimentos" TargetMode="External"/><Relationship Id="rId29" Type="http://schemas.openxmlformats.org/officeDocument/2006/relationships/hyperlink" Target="https://datasus.saude.gov.br/cnes-estabelecimentos" TargetMode="External"/><Relationship Id="rId30" Type="http://schemas.openxmlformats.org/officeDocument/2006/relationships/hyperlink" Target="http://tabnet.datasus.gov.br/cgi/ibge/censo/cnv/ginibr.def" TargetMode="External"/><Relationship Id="rId31" Type="http://schemas.openxmlformats.org/officeDocument/2006/relationships/hyperlink" Target="https://app.powerbi.com/view?r=eyJrIjoiMWY0NzM0ZWEtNDIxZi00NzZhLTg1ODMtYTEzYmE0YTVmODk0IiwidCI6ImMwZTY1MzllLThjZGUtNDZlNy1hOTc4LWI1YTNmZTlmMGMzOSJ9" TargetMode="External"/><Relationship Id="rId32" Type="http://schemas.openxmlformats.org/officeDocument/2006/relationships/hyperlink" Target="https://comexstat.mdic.gov.br/pt/municipio" TargetMode="External"/><Relationship Id="rId33" Type="http://schemas.openxmlformats.org/officeDocument/2006/relationships/hyperlink" Target="https://metadados.sigmavaf.com.br/diagnostico" TargetMode="External"/><Relationship Id="rId34" Type="http://schemas.openxmlformats.org/officeDocument/2006/relationships/hyperlink" Target="https://sidra.ibge.gov.br/Tabela/992" TargetMode="External"/><Relationship Id="rId35" Type="http://schemas.openxmlformats.org/officeDocument/2006/relationships/hyperlink" Target="https://sidra.ibge.gov.br/Tabela/992" TargetMode="External"/></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 Id="rId1" Type="http://schemas.openxmlformats.org/officeDocument/2006/relationships/image" Target="media/image2.png"/><Relationship Id="rId2" Type="http://schemas.openxmlformats.org/officeDocument/2006/relationships/image" Target="media/image3.png"/></Relationships>
</file>

<file path=word/_rels/footnotes.xml.rels><?xml version="1.0" encoding="UTF-8" standalone="yes"?><Relationships xmlns="http://schemas.openxmlformats.org/package/2006/relationships"><Relationship Id="rId1" Type="http://schemas.openxmlformats.org/officeDocument/2006/relationships/hyperlink" Target="https://www.gov.br/mdic/pt-br/assuntos/comercio-exterior" TargetMode="External"/></Relationships>
</file>

<file path=word/_rels/header1.xml.rels><?xml version="1.0" encoding="UTF-8" standalone="yes"?><Relationships xmlns="http://schemas.openxmlformats.org/package/2006/relationships"><Relationship Id="rId1" Type="http://schemas.openxmlformats.org/officeDocument/2006/relationships/image" Target="media/image1.png"/><Relationship Id="rId2" Type="http://schemas.openxmlformats.org/officeDocument/2006/relationships/hyperlink" Target="https://doi.org/10.29327/243949" TargetMode="External"/></Relationships>
</file>

<file path=word/charts/_rels/chart1.xml.rels><?xml version="1.0" encoding="UTF-8" standalone="yes"?><Relationships xmlns="http://schemas.openxmlformats.org/package/2006/relationships"><Relationship Id="rId1" Type="http://schemas.openxmlformats.org/officeDocument/2006/relationships/oleObject" Target="file:\C:\Users\Usuario\Downloads\Universidade\PIB\PIB%20Reg%20Ime%20Alf.xlsx" TargetMode="External"/><Relationship Id="rId2" Type="http://schemas.microsoft.com/office/2011/relationships/chartStyle" Target="style1.xml" /><Relationship Id="rId3" Type="http://schemas.microsoft.com/office/2011/relationships/chartColorStyle" Target="colors1.xml" /></Relationships>
</file>

<file path=word/charts/_rels/chart2.xml.rels><?xml version="1.0" encoding="UTF-8" standalone="yes"?><Relationships xmlns="http://schemas.openxmlformats.org/package/2006/relationships"><Relationship Id="rId1" Type="http://schemas.openxmlformats.org/officeDocument/2006/relationships/oleObject" Target="file:\C:\Users\Usuario\Downloads\Universidade\VAF%20RGI.xlsx" TargetMode="External"/><Relationship Id="rId2" Type="http://schemas.microsoft.com/office/2011/relationships/chartStyle" Target="style2.xml" /><Relationship Id="rId3" Type="http://schemas.microsoft.com/office/2011/relationships/chartColorStyle" Target="colors2.xml" /></Relationships>
</file>

<file path=word/charts/chart1.xml><?xml version="1.0" encoding="utf-8"?>
<c:chartSpace xmlns:c="http://schemas.openxmlformats.org/drawingml/2006/chart" xmlns:a="http://schemas.openxmlformats.org/drawingml/2006/main" xmlns:r="http://schemas.openxmlformats.org/officeDocument/2006/relationships" xmlns:mc="http://schemas.openxmlformats.org/markup-compatibility/2006" xmlns:c15="http://schemas.microsoft.com/office/drawing/2012/chart" xmlns:c14="http://schemas.microsoft.com/office/drawing/2007/8/2/chart" xmlns:c16r2="http://schemas.microsoft.com/office/drawing/2015/06/chart">
  <c:date1904 val="0"/>
  <c:lang val="pt-BR"/>
  <c:roundedCorners val="0"/>
  <mc:AlternateContent>
    <mc:Choice Requires="c14">
      <c14:style val="102"/>
    </mc:Choice>
    <mc:Fallback>
      <c:style val="2"/>
    </mc:Fallback>
  </mc:AlternateContent>
  <c:chart>
    <c:autoTitleDeleted val="1"/>
    <c:plotArea>
      <c:layout/>
      <c:lineChart>
        <c:grouping val="standard"/>
        <c:varyColors val="0"/>
        <c:ser>
          <c:idx val="0"/>
          <c:order val="0"/>
          <c:tx>
            <c:strRef>
              <c:f>'Tabela 1'!$A$6</c:f>
              <c:strCache>
                <c:ptCount val="1"/>
                <c:pt idx="0">
                  <c:v>Alfenas</c:v>
                </c:pt>
              </c:strCache>
            </c:strRef>
          </c:tx>
          <c:spPr bwMode="auto">
            <a:prstGeom prst="rect">
              <a:avLst/>
            </a:prstGeom>
            <a:ln w="28575" cap="rnd">
              <a:solidFill>
                <a:schemeClr val="accent1"/>
              </a:solidFill>
              <a:round/>
            </a:ln>
            <a:effectLst/>
          </c:spPr>
          <c:marker>
            <c:symbol val="none"/>
          </c:marker>
          <c:cat>
            <c:strRef>
              <c:f>'Tabela 1'!$B$5:$U$5</c:f>
              <c:strCache>
                <c:ptCount val="20"/>
                <c:pt idx="0">
                  <c:v>2002</c:v>
                </c:pt>
                <c:pt idx="1">
                  <c:v>2003</c:v>
                </c:pt>
                <c:pt idx="2">
                  <c:v>2004</c:v>
                </c:pt>
                <c:pt idx="3">
                  <c:v>2005</c:v>
                </c:pt>
                <c:pt idx="4">
                  <c:v>2006</c:v>
                </c:pt>
                <c:pt idx="5">
                  <c:v>2007</c:v>
                </c:pt>
                <c:pt idx="6">
                  <c:v>2008</c:v>
                </c:pt>
                <c:pt idx="7">
                  <c:v>2009</c:v>
                </c:pt>
                <c:pt idx="8">
                  <c:v>2010</c:v>
                </c:pt>
                <c:pt idx="9">
                  <c:v>2011</c:v>
                </c:pt>
                <c:pt idx="10">
                  <c:v>2012</c:v>
                </c:pt>
                <c:pt idx="11">
                  <c:v>2013</c:v>
                </c:pt>
                <c:pt idx="12">
                  <c:v>2014</c:v>
                </c:pt>
                <c:pt idx="13">
                  <c:v>2015</c:v>
                </c:pt>
                <c:pt idx="14">
                  <c:v>2016</c:v>
                </c:pt>
                <c:pt idx="15">
                  <c:v>2017</c:v>
                </c:pt>
                <c:pt idx="16">
                  <c:v>2018</c:v>
                </c:pt>
                <c:pt idx="17">
                  <c:v>2019</c:v>
                </c:pt>
                <c:pt idx="18">
                  <c:v>2020</c:v>
                </c:pt>
                <c:pt idx="19">
                  <c:v>2021</c:v>
                </c:pt>
              </c:strCache>
            </c:strRef>
          </c:cat>
          <c:val>
            <c:numRef>
              <c:f>'Tabela 1'!$B$6:$U$6</c:f>
              <c:numCache>
                <c:formatCode>General</c:formatCode>
                <c:ptCount val="20"/>
                <c:pt idx="0">
                  <c:v>493122</c:v>
                </c:pt>
                <c:pt idx="1">
                  <c:v>536868</c:v>
                </c:pt>
                <c:pt idx="2">
                  <c:v>678070</c:v>
                </c:pt>
                <c:pt idx="3">
                  <c:v>651184</c:v>
                </c:pt>
                <c:pt idx="4">
                  <c:v>783342</c:v>
                </c:pt>
                <c:pt idx="5">
                  <c:v>823202</c:v>
                </c:pt>
                <c:pt idx="6">
                  <c:v>977276</c:v>
                </c:pt>
                <c:pt idx="7">
                  <c:v>1074487</c:v>
                </c:pt>
                <c:pt idx="8">
                  <c:v>1284402</c:v>
                </c:pt>
                <c:pt idx="9">
                  <c:v>1519989</c:v>
                </c:pt>
                <c:pt idx="10">
                  <c:v>1694258</c:v>
                </c:pt>
                <c:pt idx="11">
                  <c:v>1759769</c:v>
                </c:pt>
                <c:pt idx="12">
                  <c:v>1949166</c:v>
                </c:pt>
                <c:pt idx="13">
                  <c:v>2126580</c:v>
                </c:pt>
                <c:pt idx="14">
                  <c:v>2296071</c:v>
                </c:pt>
                <c:pt idx="15">
                  <c:v>2664279</c:v>
                </c:pt>
                <c:pt idx="16">
                  <c:v>2612263</c:v>
                </c:pt>
                <c:pt idx="17">
                  <c:v>2584363</c:v>
                </c:pt>
                <c:pt idx="18">
                  <c:v>2723426</c:v>
                </c:pt>
                <c:pt idx="19">
                  <c:v>3485867</c:v>
                </c:pt>
              </c:numCache>
            </c:numRef>
          </c:val>
          <c:smooth val="0"/>
        </c:ser>
        <c:ser>
          <c:idx val="1"/>
          <c:order val="1"/>
          <c:tx>
            <c:strRef>
              <c:f>'Tabela 1'!$A$7</c:f>
              <c:strCache>
                <c:ptCount val="1"/>
                <c:pt idx="0">
                  <c:v>Alterosa</c:v>
                </c:pt>
              </c:strCache>
            </c:strRef>
          </c:tx>
          <c:spPr bwMode="auto">
            <a:prstGeom prst="rect">
              <a:avLst/>
            </a:prstGeom>
            <a:ln w="28575" cap="rnd">
              <a:solidFill>
                <a:schemeClr val="accent2"/>
              </a:solidFill>
              <a:round/>
            </a:ln>
            <a:effectLst/>
          </c:spPr>
          <c:marker>
            <c:symbol val="none"/>
          </c:marker>
          <c:cat>
            <c:strRef>
              <c:f>'Tabela 1'!$B$5:$U$5</c:f>
              <c:strCache>
                <c:ptCount val="20"/>
                <c:pt idx="0">
                  <c:v>2002</c:v>
                </c:pt>
                <c:pt idx="1">
                  <c:v>2003</c:v>
                </c:pt>
                <c:pt idx="2">
                  <c:v>2004</c:v>
                </c:pt>
                <c:pt idx="3">
                  <c:v>2005</c:v>
                </c:pt>
                <c:pt idx="4">
                  <c:v>2006</c:v>
                </c:pt>
                <c:pt idx="5">
                  <c:v>2007</c:v>
                </c:pt>
                <c:pt idx="6">
                  <c:v>2008</c:v>
                </c:pt>
                <c:pt idx="7">
                  <c:v>2009</c:v>
                </c:pt>
                <c:pt idx="8">
                  <c:v>2010</c:v>
                </c:pt>
                <c:pt idx="9">
                  <c:v>2011</c:v>
                </c:pt>
                <c:pt idx="10">
                  <c:v>2012</c:v>
                </c:pt>
                <c:pt idx="11">
                  <c:v>2013</c:v>
                </c:pt>
                <c:pt idx="12">
                  <c:v>2014</c:v>
                </c:pt>
                <c:pt idx="13">
                  <c:v>2015</c:v>
                </c:pt>
                <c:pt idx="14">
                  <c:v>2016</c:v>
                </c:pt>
                <c:pt idx="15">
                  <c:v>2017</c:v>
                </c:pt>
                <c:pt idx="16">
                  <c:v>2018</c:v>
                </c:pt>
                <c:pt idx="17">
                  <c:v>2019</c:v>
                </c:pt>
                <c:pt idx="18">
                  <c:v>2020</c:v>
                </c:pt>
                <c:pt idx="19">
                  <c:v>2021</c:v>
                </c:pt>
              </c:strCache>
            </c:strRef>
          </c:cat>
          <c:val>
            <c:numRef>
              <c:f>'Tabela 1'!$B$7:$U$7</c:f>
              <c:numCache>
                <c:formatCode>General</c:formatCode>
                <c:ptCount val="20"/>
                <c:pt idx="0">
                  <c:v>43632</c:v>
                </c:pt>
                <c:pt idx="1">
                  <c:v>45868</c:v>
                </c:pt>
                <c:pt idx="2">
                  <c:v>58438</c:v>
                </c:pt>
                <c:pt idx="3">
                  <c:v>61580</c:v>
                </c:pt>
                <c:pt idx="4">
                  <c:v>73589</c:v>
                </c:pt>
                <c:pt idx="5">
                  <c:v>76748</c:v>
                </c:pt>
                <c:pt idx="6">
                  <c:v>89671</c:v>
                </c:pt>
                <c:pt idx="7">
                  <c:v>94769</c:v>
                </c:pt>
                <c:pt idx="8">
                  <c:v>108556</c:v>
                </c:pt>
                <c:pt idx="9">
                  <c:v>128500</c:v>
                </c:pt>
                <c:pt idx="10">
                  <c:v>141973</c:v>
                </c:pt>
                <c:pt idx="11">
                  <c:v>151062</c:v>
                </c:pt>
                <c:pt idx="12">
                  <c:v>168551</c:v>
                </c:pt>
                <c:pt idx="13">
                  <c:v>178820</c:v>
                </c:pt>
                <c:pt idx="14">
                  <c:v>212770</c:v>
                </c:pt>
                <c:pt idx="15">
                  <c:v>218667</c:v>
                </c:pt>
                <c:pt idx="16">
                  <c:v>212888</c:v>
                </c:pt>
                <c:pt idx="17">
                  <c:v>214339</c:v>
                </c:pt>
                <c:pt idx="18">
                  <c:v>242421</c:v>
                </c:pt>
                <c:pt idx="19">
                  <c:v>296525</c:v>
                </c:pt>
              </c:numCache>
            </c:numRef>
          </c:val>
          <c:smooth val="0"/>
        </c:ser>
        <c:ser>
          <c:idx val="2"/>
          <c:order val="2"/>
          <c:tx>
            <c:strRef>
              <c:f>'Tabela 1'!$A$8</c:f>
              <c:strCache>
                <c:ptCount val="1"/>
                <c:pt idx="0">
                  <c:v>Areado</c:v>
                </c:pt>
              </c:strCache>
            </c:strRef>
          </c:tx>
          <c:spPr bwMode="auto">
            <a:prstGeom prst="rect">
              <a:avLst/>
            </a:prstGeom>
            <a:ln w="28575" cap="rnd">
              <a:solidFill>
                <a:schemeClr val="accent3"/>
              </a:solidFill>
              <a:round/>
            </a:ln>
            <a:effectLst/>
          </c:spPr>
          <c:marker>
            <c:symbol val="none"/>
          </c:marker>
          <c:cat>
            <c:strRef>
              <c:f>'Tabela 1'!$B$5:$U$5</c:f>
              <c:strCache>
                <c:ptCount val="20"/>
                <c:pt idx="0">
                  <c:v>2002</c:v>
                </c:pt>
                <c:pt idx="1">
                  <c:v>2003</c:v>
                </c:pt>
                <c:pt idx="2">
                  <c:v>2004</c:v>
                </c:pt>
                <c:pt idx="3">
                  <c:v>2005</c:v>
                </c:pt>
                <c:pt idx="4">
                  <c:v>2006</c:v>
                </c:pt>
                <c:pt idx="5">
                  <c:v>2007</c:v>
                </c:pt>
                <c:pt idx="6">
                  <c:v>2008</c:v>
                </c:pt>
                <c:pt idx="7">
                  <c:v>2009</c:v>
                </c:pt>
                <c:pt idx="8">
                  <c:v>2010</c:v>
                </c:pt>
                <c:pt idx="9">
                  <c:v>2011</c:v>
                </c:pt>
                <c:pt idx="10">
                  <c:v>2012</c:v>
                </c:pt>
                <c:pt idx="11">
                  <c:v>2013</c:v>
                </c:pt>
                <c:pt idx="12">
                  <c:v>2014</c:v>
                </c:pt>
                <c:pt idx="13">
                  <c:v>2015</c:v>
                </c:pt>
                <c:pt idx="14">
                  <c:v>2016</c:v>
                </c:pt>
                <c:pt idx="15">
                  <c:v>2017</c:v>
                </c:pt>
                <c:pt idx="16">
                  <c:v>2018</c:v>
                </c:pt>
                <c:pt idx="17">
                  <c:v>2019</c:v>
                </c:pt>
                <c:pt idx="18">
                  <c:v>2020</c:v>
                </c:pt>
                <c:pt idx="19">
                  <c:v>2021</c:v>
                </c:pt>
              </c:strCache>
            </c:strRef>
          </c:cat>
          <c:val>
            <c:numRef>
              <c:f>'Tabela 1'!$B$8:$U$8</c:f>
              <c:numCache>
                <c:formatCode>General</c:formatCode>
                <c:ptCount val="20"/>
                <c:pt idx="0">
                  <c:v>50243</c:v>
                </c:pt>
                <c:pt idx="1">
                  <c:v>55620</c:v>
                </c:pt>
                <c:pt idx="2">
                  <c:v>72851</c:v>
                </c:pt>
                <c:pt idx="3">
                  <c:v>68738</c:v>
                </c:pt>
                <c:pt idx="4">
                  <c:v>83729</c:v>
                </c:pt>
                <c:pt idx="5">
                  <c:v>82966</c:v>
                </c:pt>
                <c:pt idx="6">
                  <c:v>106744</c:v>
                </c:pt>
                <c:pt idx="7">
                  <c:v>104910</c:v>
                </c:pt>
                <c:pt idx="8">
                  <c:v>121198</c:v>
                </c:pt>
                <c:pt idx="9">
                  <c:v>151810</c:v>
                </c:pt>
                <c:pt idx="10">
                  <c:v>161290</c:v>
                </c:pt>
                <c:pt idx="11">
                  <c:v>168261</c:v>
                </c:pt>
                <c:pt idx="12">
                  <c:v>180608</c:v>
                </c:pt>
                <c:pt idx="13">
                  <c:v>200169</c:v>
                </c:pt>
                <c:pt idx="14">
                  <c:v>217284</c:v>
                </c:pt>
                <c:pt idx="15">
                  <c:v>225966</c:v>
                </c:pt>
                <c:pt idx="16">
                  <c:v>230645</c:v>
                </c:pt>
                <c:pt idx="17">
                  <c:v>225195</c:v>
                </c:pt>
                <c:pt idx="18">
                  <c:v>252183</c:v>
                </c:pt>
                <c:pt idx="19">
                  <c:v>309348</c:v>
                </c:pt>
              </c:numCache>
            </c:numRef>
          </c:val>
          <c:smooth val="0"/>
        </c:ser>
        <c:ser>
          <c:idx val="3"/>
          <c:order val="3"/>
          <c:tx>
            <c:strRef>
              <c:f>'Tabela 1'!$A$9</c:f>
              <c:strCache>
                <c:ptCount val="1"/>
                <c:pt idx="0">
                  <c:v>Campo M</c:v>
                </c:pt>
              </c:strCache>
            </c:strRef>
          </c:tx>
          <c:spPr bwMode="auto">
            <a:prstGeom prst="rect">
              <a:avLst/>
            </a:prstGeom>
            <a:ln w="28575" cap="rnd">
              <a:solidFill>
                <a:schemeClr val="accent4"/>
              </a:solidFill>
              <a:round/>
            </a:ln>
            <a:effectLst/>
          </c:spPr>
          <c:marker>
            <c:symbol val="none"/>
          </c:marker>
          <c:cat>
            <c:strRef>
              <c:f>'Tabela 1'!$B$5:$U$5</c:f>
              <c:strCache>
                <c:ptCount val="20"/>
                <c:pt idx="0">
                  <c:v>2002</c:v>
                </c:pt>
                <c:pt idx="1">
                  <c:v>2003</c:v>
                </c:pt>
                <c:pt idx="2">
                  <c:v>2004</c:v>
                </c:pt>
                <c:pt idx="3">
                  <c:v>2005</c:v>
                </c:pt>
                <c:pt idx="4">
                  <c:v>2006</c:v>
                </c:pt>
                <c:pt idx="5">
                  <c:v>2007</c:v>
                </c:pt>
                <c:pt idx="6">
                  <c:v>2008</c:v>
                </c:pt>
                <c:pt idx="7">
                  <c:v>2009</c:v>
                </c:pt>
                <c:pt idx="8">
                  <c:v>2010</c:v>
                </c:pt>
                <c:pt idx="9">
                  <c:v>2011</c:v>
                </c:pt>
                <c:pt idx="10">
                  <c:v>2012</c:v>
                </c:pt>
                <c:pt idx="11">
                  <c:v>2013</c:v>
                </c:pt>
                <c:pt idx="12">
                  <c:v>2014</c:v>
                </c:pt>
                <c:pt idx="13">
                  <c:v>2015</c:v>
                </c:pt>
                <c:pt idx="14">
                  <c:v>2016</c:v>
                </c:pt>
                <c:pt idx="15">
                  <c:v>2017</c:v>
                </c:pt>
                <c:pt idx="16">
                  <c:v>2018</c:v>
                </c:pt>
                <c:pt idx="17">
                  <c:v>2019</c:v>
                </c:pt>
                <c:pt idx="18">
                  <c:v>2020</c:v>
                </c:pt>
                <c:pt idx="19">
                  <c:v>2021</c:v>
                </c:pt>
              </c:strCache>
            </c:strRef>
          </c:cat>
          <c:val>
            <c:numRef>
              <c:f>'Tabela 1'!$B$9:$U$9</c:f>
              <c:numCache>
                <c:formatCode>General</c:formatCode>
                <c:ptCount val="20"/>
                <c:pt idx="0">
                  <c:v>34619</c:v>
                </c:pt>
                <c:pt idx="1">
                  <c:v>34652</c:v>
                </c:pt>
                <c:pt idx="2">
                  <c:v>54198</c:v>
                </c:pt>
                <c:pt idx="3">
                  <c:v>42216</c:v>
                </c:pt>
                <c:pt idx="4">
                  <c:v>63437</c:v>
                </c:pt>
                <c:pt idx="5">
                  <c:v>61787</c:v>
                </c:pt>
                <c:pt idx="6">
                  <c:v>67897</c:v>
                </c:pt>
                <c:pt idx="7">
                  <c:v>72428</c:v>
                </c:pt>
                <c:pt idx="8">
                  <c:v>78465</c:v>
                </c:pt>
                <c:pt idx="9">
                  <c:v>112189</c:v>
                </c:pt>
                <c:pt idx="10">
                  <c:v>102085</c:v>
                </c:pt>
                <c:pt idx="11">
                  <c:v>101651</c:v>
                </c:pt>
                <c:pt idx="12">
                  <c:v>115144</c:v>
                </c:pt>
                <c:pt idx="13">
                  <c:v>135399</c:v>
                </c:pt>
                <c:pt idx="14">
                  <c:v>153920</c:v>
                </c:pt>
                <c:pt idx="15">
                  <c:v>171879</c:v>
                </c:pt>
                <c:pt idx="16">
                  <c:v>170838</c:v>
                </c:pt>
                <c:pt idx="17">
                  <c:v>156704</c:v>
                </c:pt>
                <c:pt idx="18">
                  <c:v>182929</c:v>
                </c:pt>
                <c:pt idx="19">
                  <c:v>231132</c:v>
                </c:pt>
              </c:numCache>
            </c:numRef>
          </c:val>
          <c:smooth val="0"/>
        </c:ser>
        <c:ser>
          <c:idx val="4"/>
          <c:order val="4"/>
          <c:tx>
            <c:strRef>
              <c:f>'Tabela 1'!$A$10</c:f>
              <c:strCache>
                <c:ptCount val="1"/>
                <c:pt idx="0">
                  <c:v>Campos G</c:v>
                </c:pt>
              </c:strCache>
            </c:strRef>
          </c:tx>
          <c:spPr bwMode="auto">
            <a:prstGeom prst="rect">
              <a:avLst/>
            </a:prstGeom>
            <a:ln w="28575" cap="rnd">
              <a:solidFill>
                <a:schemeClr val="accent5"/>
              </a:solidFill>
              <a:round/>
            </a:ln>
            <a:effectLst/>
          </c:spPr>
          <c:marker>
            <c:symbol val="none"/>
          </c:marker>
          <c:cat>
            <c:strRef>
              <c:f>'Tabela 1'!$B$5:$U$5</c:f>
              <c:strCache>
                <c:ptCount val="20"/>
                <c:pt idx="0">
                  <c:v>2002</c:v>
                </c:pt>
                <c:pt idx="1">
                  <c:v>2003</c:v>
                </c:pt>
                <c:pt idx="2">
                  <c:v>2004</c:v>
                </c:pt>
                <c:pt idx="3">
                  <c:v>2005</c:v>
                </c:pt>
                <c:pt idx="4">
                  <c:v>2006</c:v>
                </c:pt>
                <c:pt idx="5">
                  <c:v>2007</c:v>
                </c:pt>
                <c:pt idx="6">
                  <c:v>2008</c:v>
                </c:pt>
                <c:pt idx="7">
                  <c:v>2009</c:v>
                </c:pt>
                <c:pt idx="8">
                  <c:v>2010</c:v>
                </c:pt>
                <c:pt idx="9">
                  <c:v>2011</c:v>
                </c:pt>
                <c:pt idx="10">
                  <c:v>2012</c:v>
                </c:pt>
                <c:pt idx="11">
                  <c:v>2013</c:v>
                </c:pt>
                <c:pt idx="12">
                  <c:v>2014</c:v>
                </c:pt>
                <c:pt idx="13">
                  <c:v>2015</c:v>
                </c:pt>
                <c:pt idx="14">
                  <c:v>2016</c:v>
                </c:pt>
                <c:pt idx="15">
                  <c:v>2017</c:v>
                </c:pt>
                <c:pt idx="16">
                  <c:v>2018</c:v>
                </c:pt>
                <c:pt idx="17">
                  <c:v>2019</c:v>
                </c:pt>
                <c:pt idx="18">
                  <c:v>2020</c:v>
                </c:pt>
                <c:pt idx="19">
                  <c:v>2021</c:v>
                </c:pt>
              </c:strCache>
            </c:strRef>
          </c:cat>
          <c:val>
            <c:numRef>
              <c:f>'Tabela 1'!$B$10:$U$10</c:f>
              <c:numCache>
                <c:formatCode>General</c:formatCode>
                <c:ptCount val="20"/>
                <c:pt idx="0">
                  <c:v>112578</c:v>
                </c:pt>
                <c:pt idx="1">
                  <c:v>101250</c:v>
                </c:pt>
                <c:pt idx="2">
                  <c:v>159313</c:v>
                </c:pt>
                <c:pt idx="3">
                  <c:v>137603</c:v>
                </c:pt>
                <c:pt idx="4">
                  <c:v>177208</c:v>
                </c:pt>
                <c:pt idx="5">
                  <c:v>179266</c:v>
                </c:pt>
                <c:pt idx="6">
                  <c:v>211400</c:v>
                </c:pt>
                <c:pt idx="7">
                  <c:v>210863</c:v>
                </c:pt>
                <c:pt idx="8">
                  <c:v>282617</c:v>
                </c:pt>
                <c:pt idx="9">
                  <c:v>333115</c:v>
                </c:pt>
                <c:pt idx="10">
                  <c:v>351242</c:v>
                </c:pt>
                <c:pt idx="11">
                  <c:v>313656</c:v>
                </c:pt>
                <c:pt idx="12">
                  <c:v>366688</c:v>
                </c:pt>
                <c:pt idx="13">
                  <c:v>346776</c:v>
                </c:pt>
                <c:pt idx="14">
                  <c:v>482627</c:v>
                </c:pt>
                <c:pt idx="15">
                  <c:v>477305</c:v>
                </c:pt>
                <c:pt idx="16">
                  <c:v>474546</c:v>
                </c:pt>
                <c:pt idx="17">
                  <c:v>466175</c:v>
                </c:pt>
                <c:pt idx="18">
                  <c:v>634855</c:v>
                </c:pt>
                <c:pt idx="19">
                  <c:v>704550</c:v>
                </c:pt>
              </c:numCache>
            </c:numRef>
          </c:val>
          <c:smooth val="0"/>
        </c:ser>
        <c:ser>
          <c:idx val="5"/>
          <c:order val="5"/>
          <c:tx>
            <c:strRef>
              <c:f>'Tabela 1'!$A$11</c:f>
              <c:strCache>
                <c:ptCount val="1"/>
                <c:pt idx="0">
                  <c:v>Carmo R</c:v>
                </c:pt>
              </c:strCache>
            </c:strRef>
          </c:tx>
          <c:spPr bwMode="auto">
            <a:prstGeom prst="rect">
              <a:avLst/>
            </a:prstGeom>
            <a:ln w="28575" cap="rnd">
              <a:solidFill>
                <a:schemeClr val="accent6"/>
              </a:solidFill>
              <a:round/>
            </a:ln>
            <a:effectLst/>
          </c:spPr>
          <c:marker>
            <c:symbol val="none"/>
          </c:marker>
          <c:cat>
            <c:strRef>
              <c:f>'Tabela 1'!$B$5:$U$5</c:f>
              <c:strCache>
                <c:ptCount val="20"/>
                <c:pt idx="0">
                  <c:v>2002</c:v>
                </c:pt>
                <c:pt idx="1">
                  <c:v>2003</c:v>
                </c:pt>
                <c:pt idx="2">
                  <c:v>2004</c:v>
                </c:pt>
                <c:pt idx="3">
                  <c:v>2005</c:v>
                </c:pt>
                <c:pt idx="4">
                  <c:v>2006</c:v>
                </c:pt>
                <c:pt idx="5">
                  <c:v>2007</c:v>
                </c:pt>
                <c:pt idx="6">
                  <c:v>2008</c:v>
                </c:pt>
                <c:pt idx="7">
                  <c:v>2009</c:v>
                </c:pt>
                <c:pt idx="8">
                  <c:v>2010</c:v>
                </c:pt>
                <c:pt idx="9">
                  <c:v>2011</c:v>
                </c:pt>
                <c:pt idx="10">
                  <c:v>2012</c:v>
                </c:pt>
                <c:pt idx="11">
                  <c:v>2013</c:v>
                </c:pt>
                <c:pt idx="12">
                  <c:v>2014</c:v>
                </c:pt>
                <c:pt idx="13">
                  <c:v>2015</c:v>
                </c:pt>
                <c:pt idx="14">
                  <c:v>2016</c:v>
                </c:pt>
                <c:pt idx="15">
                  <c:v>2017</c:v>
                </c:pt>
                <c:pt idx="16">
                  <c:v>2018</c:v>
                </c:pt>
                <c:pt idx="17">
                  <c:v>2019</c:v>
                </c:pt>
                <c:pt idx="18">
                  <c:v>2020</c:v>
                </c:pt>
                <c:pt idx="19">
                  <c:v>2021</c:v>
                </c:pt>
              </c:strCache>
            </c:strRef>
          </c:cat>
          <c:val>
            <c:numRef>
              <c:f>'Tabela 1'!$B$11:$U$11</c:f>
              <c:numCache>
                <c:formatCode>General</c:formatCode>
                <c:ptCount val="20"/>
                <c:pt idx="0">
                  <c:v>82903</c:v>
                </c:pt>
                <c:pt idx="1">
                  <c:v>90358</c:v>
                </c:pt>
                <c:pt idx="2">
                  <c:v>133590</c:v>
                </c:pt>
                <c:pt idx="3">
                  <c:v>127284</c:v>
                </c:pt>
                <c:pt idx="4">
                  <c:v>165206</c:v>
                </c:pt>
                <c:pt idx="5">
                  <c:v>169551</c:v>
                </c:pt>
                <c:pt idx="6">
                  <c:v>184709</c:v>
                </c:pt>
                <c:pt idx="7">
                  <c:v>160486</c:v>
                </c:pt>
                <c:pt idx="8">
                  <c:v>222871</c:v>
                </c:pt>
                <c:pt idx="9">
                  <c:v>319919</c:v>
                </c:pt>
                <c:pt idx="10">
                  <c:v>300143</c:v>
                </c:pt>
                <c:pt idx="11">
                  <c:v>300334</c:v>
                </c:pt>
                <c:pt idx="12">
                  <c:v>341183</c:v>
                </c:pt>
                <c:pt idx="13">
                  <c:v>367610</c:v>
                </c:pt>
                <c:pt idx="14">
                  <c:v>443901</c:v>
                </c:pt>
                <c:pt idx="15">
                  <c:v>450819</c:v>
                </c:pt>
                <c:pt idx="16">
                  <c:v>474341</c:v>
                </c:pt>
                <c:pt idx="17">
                  <c:v>510971</c:v>
                </c:pt>
                <c:pt idx="18">
                  <c:v>582134</c:v>
                </c:pt>
                <c:pt idx="19">
                  <c:v>694617</c:v>
                </c:pt>
              </c:numCache>
            </c:numRef>
          </c:val>
          <c:smooth val="0"/>
        </c:ser>
        <c:ser>
          <c:idx val="6"/>
          <c:order val="6"/>
          <c:tx>
            <c:strRef>
              <c:f>'Tabela 1'!$A$12</c:f>
              <c:strCache>
                <c:ptCount val="1"/>
                <c:pt idx="0">
                  <c:v>Carvalhop</c:v>
                </c:pt>
              </c:strCache>
            </c:strRef>
          </c:tx>
          <c:spPr bwMode="auto">
            <a:prstGeom prst="rect">
              <a:avLst/>
            </a:prstGeom>
            <a:ln w="28575" cap="rnd">
              <a:solidFill>
                <a:schemeClr val="accent1">
                  <a:lumMod val="60000"/>
                </a:schemeClr>
              </a:solidFill>
              <a:round/>
            </a:ln>
            <a:effectLst/>
          </c:spPr>
          <c:marker>
            <c:symbol val="none"/>
          </c:marker>
          <c:cat>
            <c:strRef>
              <c:f>'Tabela 1'!$B$5:$U$5</c:f>
              <c:strCache>
                <c:ptCount val="20"/>
                <c:pt idx="0">
                  <c:v>2002</c:v>
                </c:pt>
                <c:pt idx="1">
                  <c:v>2003</c:v>
                </c:pt>
                <c:pt idx="2">
                  <c:v>2004</c:v>
                </c:pt>
                <c:pt idx="3">
                  <c:v>2005</c:v>
                </c:pt>
                <c:pt idx="4">
                  <c:v>2006</c:v>
                </c:pt>
                <c:pt idx="5">
                  <c:v>2007</c:v>
                </c:pt>
                <c:pt idx="6">
                  <c:v>2008</c:v>
                </c:pt>
                <c:pt idx="7">
                  <c:v>2009</c:v>
                </c:pt>
                <c:pt idx="8">
                  <c:v>2010</c:v>
                </c:pt>
                <c:pt idx="9">
                  <c:v>2011</c:v>
                </c:pt>
                <c:pt idx="10">
                  <c:v>2012</c:v>
                </c:pt>
                <c:pt idx="11">
                  <c:v>2013</c:v>
                </c:pt>
                <c:pt idx="12">
                  <c:v>2014</c:v>
                </c:pt>
                <c:pt idx="13">
                  <c:v>2015</c:v>
                </c:pt>
                <c:pt idx="14">
                  <c:v>2016</c:v>
                </c:pt>
                <c:pt idx="15">
                  <c:v>2017</c:v>
                </c:pt>
                <c:pt idx="16">
                  <c:v>2018</c:v>
                </c:pt>
                <c:pt idx="17">
                  <c:v>2019</c:v>
                </c:pt>
                <c:pt idx="18">
                  <c:v>2020</c:v>
                </c:pt>
                <c:pt idx="19">
                  <c:v>2021</c:v>
                </c:pt>
              </c:strCache>
            </c:strRef>
          </c:cat>
          <c:val>
            <c:numRef>
              <c:f>'Tabela 1'!$B$12:$U$12</c:f>
              <c:numCache>
                <c:formatCode>General</c:formatCode>
                <c:ptCount val="20"/>
                <c:pt idx="0">
                  <c:v>13464</c:v>
                </c:pt>
                <c:pt idx="1">
                  <c:v>13736</c:v>
                </c:pt>
                <c:pt idx="2">
                  <c:v>20292</c:v>
                </c:pt>
                <c:pt idx="3">
                  <c:v>16516</c:v>
                </c:pt>
                <c:pt idx="4">
                  <c:v>23194</c:v>
                </c:pt>
                <c:pt idx="5">
                  <c:v>20071</c:v>
                </c:pt>
                <c:pt idx="6">
                  <c:v>25947</c:v>
                </c:pt>
                <c:pt idx="7">
                  <c:v>26783</c:v>
                </c:pt>
                <c:pt idx="8">
                  <c:v>31065</c:v>
                </c:pt>
                <c:pt idx="9">
                  <c:v>38370</c:v>
                </c:pt>
                <c:pt idx="10">
                  <c:v>39002</c:v>
                </c:pt>
                <c:pt idx="11">
                  <c:v>35546</c:v>
                </c:pt>
                <c:pt idx="12">
                  <c:v>42667</c:v>
                </c:pt>
                <c:pt idx="13">
                  <c:v>47779</c:v>
                </c:pt>
                <c:pt idx="14">
                  <c:v>55622</c:v>
                </c:pt>
                <c:pt idx="15">
                  <c:v>50796</c:v>
                </c:pt>
                <c:pt idx="16">
                  <c:v>46526</c:v>
                </c:pt>
                <c:pt idx="17">
                  <c:v>47469</c:v>
                </c:pt>
                <c:pt idx="18">
                  <c:v>58832</c:v>
                </c:pt>
                <c:pt idx="19">
                  <c:v>71387</c:v>
                </c:pt>
              </c:numCache>
            </c:numRef>
          </c:val>
          <c:smooth val="0"/>
        </c:ser>
        <c:ser>
          <c:idx val="7"/>
          <c:order val="7"/>
          <c:tx>
            <c:strRef>
              <c:f>'Tabela 1'!$A$13</c:f>
              <c:strCache>
                <c:ptCount val="1"/>
                <c:pt idx="0">
                  <c:v>Conceição</c:v>
                </c:pt>
              </c:strCache>
            </c:strRef>
          </c:tx>
          <c:spPr bwMode="auto">
            <a:prstGeom prst="rect">
              <a:avLst/>
            </a:prstGeom>
            <a:ln w="28575" cap="rnd">
              <a:solidFill>
                <a:schemeClr val="accent2">
                  <a:lumMod val="60000"/>
                </a:schemeClr>
              </a:solidFill>
              <a:round/>
            </a:ln>
            <a:effectLst/>
          </c:spPr>
          <c:marker>
            <c:symbol val="none"/>
          </c:marker>
          <c:cat>
            <c:strRef>
              <c:f>'Tabela 1'!$B$5:$U$5</c:f>
              <c:strCache>
                <c:ptCount val="20"/>
                <c:pt idx="0">
                  <c:v>2002</c:v>
                </c:pt>
                <c:pt idx="1">
                  <c:v>2003</c:v>
                </c:pt>
                <c:pt idx="2">
                  <c:v>2004</c:v>
                </c:pt>
                <c:pt idx="3">
                  <c:v>2005</c:v>
                </c:pt>
                <c:pt idx="4">
                  <c:v>2006</c:v>
                </c:pt>
                <c:pt idx="5">
                  <c:v>2007</c:v>
                </c:pt>
                <c:pt idx="6">
                  <c:v>2008</c:v>
                </c:pt>
                <c:pt idx="7">
                  <c:v>2009</c:v>
                </c:pt>
                <c:pt idx="8">
                  <c:v>2010</c:v>
                </c:pt>
                <c:pt idx="9">
                  <c:v>2011</c:v>
                </c:pt>
                <c:pt idx="10">
                  <c:v>2012</c:v>
                </c:pt>
                <c:pt idx="11">
                  <c:v>2013</c:v>
                </c:pt>
                <c:pt idx="12">
                  <c:v>2014</c:v>
                </c:pt>
                <c:pt idx="13">
                  <c:v>2015</c:v>
                </c:pt>
                <c:pt idx="14">
                  <c:v>2016</c:v>
                </c:pt>
                <c:pt idx="15">
                  <c:v>2017</c:v>
                </c:pt>
                <c:pt idx="16">
                  <c:v>2018</c:v>
                </c:pt>
                <c:pt idx="17">
                  <c:v>2019</c:v>
                </c:pt>
                <c:pt idx="18">
                  <c:v>2020</c:v>
                </c:pt>
                <c:pt idx="19">
                  <c:v>2021</c:v>
                </c:pt>
              </c:strCache>
            </c:strRef>
          </c:cat>
          <c:val>
            <c:numRef>
              <c:f>'Tabela 1'!$B$13:$U$13</c:f>
              <c:numCache>
                <c:formatCode>General</c:formatCode>
                <c:ptCount val="20"/>
                <c:pt idx="0">
                  <c:v>39555</c:v>
                </c:pt>
                <c:pt idx="1">
                  <c:v>36502</c:v>
                </c:pt>
                <c:pt idx="2">
                  <c:v>68472</c:v>
                </c:pt>
                <c:pt idx="3">
                  <c:v>53774</c:v>
                </c:pt>
                <c:pt idx="4">
                  <c:v>76284</c:v>
                </c:pt>
                <c:pt idx="5">
                  <c:v>70823</c:v>
                </c:pt>
                <c:pt idx="6">
                  <c:v>93672</c:v>
                </c:pt>
                <c:pt idx="7">
                  <c:v>93456</c:v>
                </c:pt>
                <c:pt idx="8">
                  <c:v>100777</c:v>
                </c:pt>
                <c:pt idx="9">
                  <c:v>132545</c:v>
                </c:pt>
                <c:pt idx="10">
                  <c:v>134182</c:v>
                </c:pt>
                <c:pt idx="11">
                  <c:v>124362</c:v>
                </c:pt>
                <c:pt idx="12">
                  <c:v>157421</c:v>
                </c:pt>
                <c:pt idx="13">
                  <c:v>180537</c:v>
                </c:pt>
                <c:pt idx="14">
                  <c:v>194730</c:v>
                </c:pt>
                <c:pt idx="15">
                  <c:v>203336</c:v>
                </c:pt>
                <c:pt idx="16">
                  <c:v>189295</c:v>
                </c:pt>
                <c:pt idx="17">
                  <c:v>174647</c:v>
                </c:pt>
                <c:pt idx="18">
                  <c:v>212088</c:v>
                </c:pt>
                <c:pt idx="19">
                  <c:v>274177</c:v>
                </c:pt>
              </c:numCache>
            </c:numRef>
          </c:val>
          <c:smooth val="0"/>
        </c:ser>
        <c:ser>
          <c:idx val="8"/>
          <c:order val="8"/>
          <c:tx>
            <c:strRef>
              <c:f>'Tabela 1'!$A$14</c:f>
              <c:strCache>
                <c:ptCount val="1"/>
                <c:pt idx="0">
                  <c:v>Divisa N</c:v>
                </c:pt>
              </c:strCache>
            </c:strRef>
          </c:tx>
          <c:spPr bwMode="auto">
            <a:prstGeom prst="rect">
              <a:avLst/>
            </a:prstGeom>
            <a:ln w="28575" cap="rnd">
              <a:solidFill>
                <a:schemeClr val="accent3">
                  <a:lumMod val="60000"/>
                </a:schemeClr>
              </a:solidFill>
              <a:round/>
            </a:ln>
            <a:effectLst/>
          </c:spPr>
          <c:marker>
            <c:symbol val="none"/>
          </c:marker>
          <c:cat>
            <c:strRef>
              <c:f>'Tabela 1'!$B$5:$U$5</c:f>
              <c:strCache>
                <c:ptCount val="20"/>
                <c:pt idx="0">
                  <c:v>2002</c:v>
                </c:pt>
                <c:pt idx="1">
                  <c:v>2003</c:v>
                </c:pt>
                <c:pt idx="2">
                  <c:v>2004</c:v>
                </c:pt>
                <c:pt idx="3">
                  <c:v>2005</c:v>
                </c:pt>
                <c:pt idx="4">
                  <c:v>2006</c:v>
                </c:pt>
                <c:pt idx="5">
                  <c:v>2007</c:v>
                </c:pt>
                <c:pt idx="6">
                  <c:v>2008</c:v>
                </c:pt>
                <c:pt idx="7">
                  <c:v>2009</c:v>
                </c:pt>
                <c:pt idx="8">
                  <c:v>2010</c:v>
                </c:pt>
                <c:pt idx="9">
                  <c:v>2011</c:v>
                </c:pt>
                <c:pt idx="10">
                  <c:v>2012</c:v>
                </c:pt>
                <c:pt idx="11">
                  <c:v>2013</c:v>
                </c:pt>
                <c:pt idx="12">
                  <c:v>2014</c:v>
                </c:pt>
                <c:pt idx="13">
                  <c:v>2015</c:v>
                </c:pt>
                <c:pt idx="14">
                  <c:v>2016</c:v>
                </c:pt>
                <c:pt idx="15">
                  <c:v>2017</c:v>
                </c:pt>
                <c:pt idx="16">
                  <c:v>2018</c:v>
                </c:pt>
                <c:pt idx="17">
                  <c:v>2019</c:v>
                </c:pt>
                <c:pt idx="18">
                  <c:v>2020</c:v>
                </c:pt>
                <c:pt idx="19">
                  <c:v>2021</c:v>
                </c:pt>
              </c:strCache>
            </c:strRef>
          </c:cat>
          <c:val>
            <c:numRef>
              <c:f>'Tabela 1'!$B$14:$U$14</c:f>
              <c:numCache>
                <c:formatCode>General</c:formatCode>
                <c:ptCount val="20"/>
                <c:pt idx="0">
                  <c:v>21093</c:v>
                </c:pt>
                <c:pt idx="1">
                  <c:v>22856</c:v>
                </c:pt>
                <c:pt idx="2">
                  <c:v>29976</c:v>
                </c:pt>
                <c:pt idx="3">
                  <c:v>26380</c:v>
                </c:pt>
                <c:pt idx="4">
                  <c:v>34366</c:v>
                </c:pt>
                <c:pt idx="5">
                  <c:v>30845</c:v>
                </c:pt>
                <c:pt idx="6">
                  <c:v>38309</c:v>
                </c:pt>
                <c:pt idx="7">
                  <c:v>38719</c:v>
                </c:pt>
                <c:pt idx="8">
                  <c:v>47039</c:v>
                </c:pt>
                <c:pt idx="9">
                  <c:v>56207</c:v>
                </c:pt>
                <c:pt idx="10">
                  <c:v>60242</c:v>
                </c:pt>
                <c:pt idx="11">
                  <c:v>61034</c:v>
                </c:pt>
                <c:pt idx="12">
                  <c:v>65315</c:v>
                </c:pt>
                <c:pt idx="13">
                  <c:v>74113</c:v>
                </c:pt>
                <c:pt idx="14">
                  <c:v>88875</c:v>
                </c:pt>
                <c:pt idx="15">
                  <c:v>92557</c:v>
                </c:pt>
                <c:pt idx="16">
                  <c:v>89876</c:v>
                </c:pt>
                <c:pt idx="17">
                  <c:v>79307</c:v>
                </c:pt>
                <c:pt idx="18">
                  <c:v>96356</c:v>
                </c:pt>
                <c:pt idx="19">
                  <c:v>129555</c:v>
                </c:pt>
              </c:numCache>
            </c:numRef>
          </c:val>
          <c:smooth val="0"/>
        </c:ser>
        <c:ser>
          <c:idx val="9"/>
          <c:order val="9"/>
          <c:tx>
            <c:strRef>
              <c:f>'Tabela 1'!$A$15</c:f>
              <c:strCache>
                <c:ptCount val="1"/>
                <c:pt idx="0">
                  <c:v>Fama</c:v>
                </c:pt>
              </c:strCache>
            </c:strRef>
          </c:tx>
          <c:spPr bwMode="auto">
            <a:prstGeom prst="rect">
              <a:avLst/>
            </a:prstGeom>
            <a:ln w="28575" cap="rnd">
              <a:solidFill>
                <a:schemeClr val="accent4">
                  <a:lumMod val="60000"/>
                </a:schemeClr>
              </a:solidFill>
              <a:round/>
            </a:ln>
            <a:effectLst/>
          </c:spPr>
          <c:marker>
            <c:symbol val="none"/>
          </c:marker>
          <c:cat>
            <c:strRef>
              <c:f>'Tabela 1'!$B$5:$U$5</c:f>
              <c:strCache>
                <c:ptCount val="20"/>
                <c:pt idx="0">
                  <c:v>2002</c:v>
                </c:pt>
                <c:pt idx="1">
                  <c:v>2003</c:v>
                </c:pt>
                <c:pt idx="2">
                  <c:v>2004</c:v>
                </c:pt>
                <c:pt idx="3">
                  <c:v>2005</c:v>
                </c:pt>
                <c:pt idx="4">
                  <c:v>2006</c:v>
                </c:pt>
                <c:pt idx="5">
                  <c:v>2007</c:v>
                </c:pt>
                <c:pt idx="6">
                  <c:v>2008</c:v>
                </c:pt>
                <c:pt idx="7">
                  <c:v>2009</c:v>
                </c:pt>
                <c:pt idx="8">
                  <c:v>2010</c:v>
                </c:pt>
                <c:pt idx="9">
                  <c:v>2011</c:v>
                </c:pt>
                <c:pt idx="10">
                  <c:v>2012</c:v>
                </c:pt>
                <c:pt idx="11">
                  <c:v>2013</c:v>
                </c:pt>
                <c:pt idx="12">
                  <c:v>2014</c:v>
                </c:pt>
                <c:pt idx="13">
                  <c:v>2015</c:v>
                </c:pt>
                <c:pt idx="14">
                  <c:v>2016</c:v>
                </c:pt>
                <c:pt idx="15">
                  <c:v>2017</c:v>
                </c:pt>
                <c:pt idx="16">
                  <c:v>2018</c:v>
                </c:pt>
                <c:pt idx="17">
                  <c:v>2019</c:v>
                </c:pt>
                <c:pt idx="18">
                  <c:v>2020</c:v>
                </c:pt>
                <c:pt idx="19">
                  <c:v>2021</c:v>
                </c:pt>
              </c:strCache>
            </c:strRef>
          </c:cat>
          <c:val>
            <c:numRef>
              <c:f>'Tabela 1'!$B$15:$U$15</c:f>
              <c:numCache>
                <c:formatCode>General</c:formatCode>
                <c:ptCount val="20"/>
                <c:pt idx="0">
                  <c:v>10314</c:v>
                </c:pt>
                <c:pt idx="1">
                  <c:v>9726</c:v>
                </c:pt>
                <c:pt idx="2">
                  <c:v>13996</c:v>
                </c:pt>
                <c:pt idx="3">
                  <c:v>12756</c:v>
                </c:pt>
                <c:pt idx="4">
                  <c:v>17205</c:v>
                </c:pt>
                <c:pt idx="5">
                  <c:v>17166</c:v>
                </c:pt>
                <c:pt idx="6">
                  <c:v>21625</c:v>
                </c:pt>
                <c:pt idx="7">
                  <c:v>20865</c:v>
                </c:pt>
                <c:pt idx="8">
                  <c:v>27423</c:v>
                </c:pt>
                <c:pt idx="9">
                  <c:v>32980</c:v>
                </c:pt>
                <c:pt idx="10">
                  <c:v>30028</c:v>
                </c:pt>
                <c:pt idx="11">
                  <c:v>29102</c:v>
                </c:pt>
                <c:pt idx="12">
                  <c:v>29966</c:v>
                </c:pt>
                <c:pt idx="13">
                  <c:v>35712</c:v>
                </c:pt>
                <c:pt idx="14">
                  <c:v>39672</c:v>
                </c:pt>
                <c:pt idx="15">
                  <c:v>40812</c:v>
                </c:pt>
                <c:pt idx="16">
                  <c:v>39941</c:v>
                </c:pt>
                <c:pt idx="17">
                  <c:v>38640</c:v>
                </c:pt>
                <c:pt idx="18">
                  <c:v>43785</c:v>
                </c:pt>
                <c:pt idx="19">
                  <c:v>58635</c:v>
                </c:pt>
              </c:numCache>
            </c:numRef>
          </c:val>
          <c:smooth val="0"/>
        </c:ser>
        <c:ser>
          <c:idx val="10"/>
          <c:order val="10"/>
          <c:tx>
            <c:strRef>
              <c:f>'Tabela 1'!$A$16</c:f>
              <c:strCache>
                <c:ptCount val="1"/>
                <c:pt idx="0">
                  <c:v>Machado</c:v>
                </c:pt>
              </c:strCache>
            </c:strRef>
          </c:tx>
          <c:spPr bwMode="auto">
            <a:prstGeom prst="rect">
              <a:avLst/>
            </a:prstGeom>
            <a:ln w="28575" cap="rnd">
              <a:solidFill>
                <a:schemeClr val="accent5">
                  <a:lumMod val="60000"/>
                </a:schemeClr>
              </a:solidFill>
              <a:round/>
            </a:ln>
            <a:effectLst/>
          </c:spPr>
          <c:marker>
            <c:symbol val="none"/>
          </c:marker>
          <c:cat>
            <c:strRef>
              <c:f>'Tabela 1'!$B$5:$U$5</c:f>
              <c:strCache>
                <c:ptCount val="20"/>
                <c:pt idx="0">
                  <c:v>2002</c:v>
                </c:pt>
                <c:pt idx="1">
                  <c:v>2003</c:v>
                </c:pt>
                <c:pt idx="2">
                  <c:v>2004</c:v>
                </c:pt>
                <c:pt idx="3">
                  <c:v>2005</c:v>
                </c:pt>
                <c:pt idx="4">
                  <c:v>2006</c:v>
                </c:pt>
                <c:pt idx="5">
                  <c:v>2007</c:v>
                </c:pt>
                <c:pt idx="6">
                  <c:v>2008</c:v>
                </c:pt>
                <c:pt idx="7">
                  <c:v>2009</c:v>
                </c:pt>
                <c:pt idx="8">
                  <c:v>2010</c:v>
                </c:pt>
                <c:pt idx="9">
                  <c:v>2011</c:v>
                </c:pt>
                <c:pt idx="10">
                  <c:v>2012</c:v>
                </c:pt>
                <c:pt idx="11">
                  <c:v>2013</c:v>
                </c:pt>
                <c:pt idx="12">
                  <c:v>2014</c:v>
                </c:pt>
                <c:pt idx="13">
                  <c:v>2015</c:v>
                </c:pt>
                <c:pt idx="14">
                  <c:v>2016</c:v>
                </c:pt>
                <c:pt idx="15">
                  <c:v>2017</c:v>
                </c:pt>
                <c:pt idx="16">
                  <c:v>2018</c:v>
                </c:pt>
                <c:pt idx="17">
                  <c:v>2019</c:v>
                </c:pt>
                <c:pt idx="18">
                  <c:v>2020</c:v>
                </c:pt>
                <c:pt idx="19">
                  <c:v>2021</c:v>
                </c:pt>
              </c:strCache>
            </c:strRef>
          </c:cat>
          <c:val>
            <c:numRef>
              <c:f>'Tabela 1'!$B$16:$U$16</c:f>
              <c:numCache>
                <c:formatCode>General</c:formatCode>
                <c:ptCount val="20"/>
                <c:pt idx="0">
                  <c:v>237839</c:v>
                </c:pt>
                <c:pt idx="1">
                  <c:v>253944</c:v>
                </c:pt>
                <c:pt idx="2">
                  <c:v>373235</c:v>
                </c:pt>
                <c:pt idx="3">
                  <c:v>297557</c:v>
                </c:pt>
                <c:pt idx="4">
                  <c:v>393397</c:v>
                </c:pt>
                <c:pt idx="5">
                  <c:v>401695</c:v>
                </c:pt>
                <c:pt idx="6">
                  <c:v>505793</c:v>
                </c:pt>
                <c:pt idx="7">
                  <c:v>521239</c:v>
                </c:pt>
                <c:pt idx="8">
                  <c:v>596819</c:v>
                </c:pt>
                <c:pt idx="9">
                  <c:v>744259</c:v>
                </c:pt>
                <c:pt idx="10">
                  <c:v>724441</c:v>
                </c:pt>
                <c:pt idx="11">
                  <c:v>763287</c:v>
                </c:pt>
                <c:pt idx="12">
                  <c:v>764474</c:v>
                </c:pt>
                <c:pt idx="13">
                  <c:v>855183</c:v>
                </c:pt>
                <c:pt idx="14">
                  <c:v>941546</c:v>
                </c:pt>
                <c:pt idx="15">
                  <c:v>962260</c:v>
                </c:pt>
                <c:pt idx="16">
                  <c:v>1059026</c:v>
                </c:pt>
                <c:pt idx="17">
                  <c:v>976995</c:v>
                </c:pt>
                <c:pt idx="18">
                  <c:v>1119550</c:v>
                </c:pt>
                <c:pt idx="19">
                  <c:v>1373850</c:v>
                </c:pt>
              </c:numCache>
            </c:numRef>
          </c:val>
          <c:smooth val="0"/>
        </c:ser>
        <c:ser>
          <c:idx val="11"/>
          <c:order val="11"/>
          <c:tx>
            <c:strRef>
              <c:f>'Tabela 1'!$A$17</c:f>
              <c:strCache>
                <c:ptCount val="1"/>
                <c:pt idx="0">
                  <c:v>Poço Fun</c:v>
                </c:pt>
              </c:strCache>
            </c:strRef>
          </c:tx>
          <c:spPr bwMode="auto">
            <a:prstGeom prst="rect">
              <a:avLst/>
            </a:prstGeom>
            <a:ln w="28575" cap="rnd">
              <a:solidFill>
                <a:schemeClr val="accent6">
                  <a:lumMod val="60000"/>
                </a:schemeClr>
              </a:solidFill>
              <a:round/>
            </a:ln>
            <a:effectLst/>
          </c:spPr>
          <c:marker>
            <c:symbol val="none"/>
          </c:marker>
          <c:cat>
            <c:strRef>
              <c:f>'Tabela 1'!$B$5:$U$5</c:f>
              <c:strCache>
                <c:ptCount val="20"/>
                <c:pt idx="0">
                  <c:v>2002</c:v>
                </c:pt>
                <c:pt idx="1">
                  <c:v>2003</c:v>
                </c:pt>
                <c:pt idx="2">
                  <c:v>2004</c:v>
                </c:pt>
                <c:pt idx="3">
                  <c:v>2005</c:v>
                </c:pt>
                <c:pt idx="4">
                  <c:v>2006</c:v>
                </c:pt>
                <c:pt idx="5">
                  <c:v>2007</c:v>
                </c:pt>
                <c:pt idx="6">
                  <c:v>2008</c:v>
                </c:pt>
                <c:pt idx="7">
                  <c:v>2009</c:v>
                </c:pt>
                <c:pt idx="8">
                  <c:v>2010</c:v>
                </c:pt>
                <c:pt idx="9">
                  <c:v>2011</c:v>
                </c:pt>
                <c:pt idx="10">
                  <c:v>2012</c:v>
                </c:pt>
                <c:pt idx="11">
                  <c:v>2013</c:v>
                </c:pt>
                <c:pt idx="12">
                  <c:v>2014</c:v>
                </c:pt>
                <c:pt idx="13">
                  <c:v>2015</c:v>
                </c:pt>
                <c:pt idx="14">
                  <c:v>2016</c:v>
                </c:pt>
                <c:pt idx="15">
                  <c:v>2017</c:v>
                </c:pt>
                <c:pt idx="16">
                  <c:v>2018</c:v>
                </c:pt>
                <c:pt idx="17">
                  <c:v>2019</c:v>
                </c:pt>
                <c:pt idx="18">
                  <c:v>2020</c:v>
                </c:pt>
                <c:pt idx="19">
                  <c:v>2021</c:v>
                </c:pt>
              </c:strCache>
            </c:strRef>
          </c:cat>
          <c:val>
            <c:numRef>
              <c:f>'Tabela 1'!$B$17:$U$17</c:f>
              <c:numCache>
                <c:formatCode>General</c:formatCode>
                <c:ptCount val="20"/>
                <c:pt idx="0">
                  <c:v>58920</c:v>
                </c:pt>
                <c:pt idx="1">
                  <c:v>58080</c:v>
                </c:pt>
                <c:pt idx="2">
                  <c:v>90557</c:v>
                </c:pt>
                <c:pt idx="3">
                  <c:v>77896</c:v>
                </c:pt>
                <c:pt idx="4">
                  <c:v>87475</c:v>
                </c:pt>
                <c:pt idx="5">
                  <c:v>88436</c:v>
                </c:pt>
                <c:pt idx="6">
                  <c:v>105049</c:v>
                </c:pt>
                <c:pt idx="7">
                  <c:v>110645</c:v>
                </c:pt>
                <c:pt idx="8">
                  <c:v>149885</c:v>
                </c:pt>
                <c:pt idx="9">
                  <c:v>203985</c:v>
                </c:pt>
                <c:pt idx="10">
                  <c:v>179610</c:v>
                </c:pt>
                <c:pt idx="11">
                  <c:v>172042</c:v>
                </c:pt>
                <c:pt idx="12">
                  <c:v>196828</c:v>
                </c:pt>
                <c:pt idx="13">
                  <c:v>236084</c:v>
                </c:pt>
                <c:pt idx="14">
                  <c:v>262425</c:v>
                </c:pt>
                <c:pt idx="15">
                  <c:v>259193</c:v>
                </c:pt>
                <c:pt idx="16">
                  <c:v>308818</c:v>
                </c:pt>
                <c:pt idx="17">
                  <c:v>293442</c:v>
                </c:pt>
                <c:pt idx="18">
                  <c:v>325495</c:v>
                </c:pt>
                <c:pt idx="19">
                  <c:v>403867</c:v>
                </c:pt>
              </c:numCache>
            </c:numRef>
          </c:val>
          <c:smooth val="0"/>
        </c:ser>
        <c:ser>
          <c:idx val="12"/>
          <c:order val="12"/>
          <c:tx>
            <c:strRef>
              <c:f>'Tabela 1'!$A$18</c:f>
              <c:strCache>
                <c:ptCount val="1"/>
                <c:pt idx="0">
                  <c:v>Serrania</c:v>
                </c:pt>
              </c:strCache>
            </c:strRef>
          </c:tx>
          <c:spPr bwMode="auto">
            <a:prstGeom prst="rect">
              <a:avLst/>
            </a:prstGeom>
            <a:ln w="28575" cap="rnd">
              <a:solidFill>
                <a:schemeClr val="accent1">
                  <a:lumMod val="80000"/>
                  <a:lumOff val="20000"/>
                </a:schemeClr>
              </a:solidFill>
              <a:round/>
            </a:ln>
            <a:effectLst/>
          </c:spPr>
          <c:marker>
            <c:symbol val="none"/>
          </c:marker>
          <c:cat>
            <c:strRef>
              <c:f>'Tabela 1'!$B$5:$U$5</c:f>
              <c:strCache>
                <c:ptCount val="20"/>
                <c:pt idx="0">
                  <c:v>2002</c:v>
                </c:pt>
                <c:pt idx="1">
                  <c:v>2003</c:v>
                </c:pt>
                <c:pt idx="2">
                  <c:v>2004</c:v>
                </c:pt>
                <c:pt idx="3">
                  <c:v>2005</c:v>
                </c:pt>
                <c:pt idx="4">
                  <c:v>2006</c:v>
                </c:pt>
                <c:pt idx="5">
                  <c:v>2007</c:v>
                </c:pt>
                <c:pt idx="6">
                  <c:v>2008</c:v>
                </c:pt>
                <c:pt idx="7">
                  <c:v>2009</c:v>
                </c:pt>
                <c:pt idx="8">
                  <c:v>2010</c:v>
                </c:pt>
                <c:pt idx="9">
                  <c:v>2011</c:v>
                </c:pt>
                <c:pt idx="10">
                  <c:v>2012</c:v>
                </c:pt>
                <c:pt idx="11">
                  <c:v>2013</c:v>
                </c:pt>
                <c:pt idx="12">
                  <c:v>2014</c:v>
                </c:pt>
                <c:pt idx="13">
                  <c:v>2015</c:v>
                </c:pt>
                <c:pt idx="14">
                  <c:v>2016</c:v>
                </c:pt>
                <c:pt idx="15">
                  <c:v>2017</c:v>
                </c:pt>
                <c:pt idx="16">
                  <c:v>2018</c:v>
                </c:pt>
                <c:pt idx="17">
                  <c:v>2019</c:v>
                </c:pt>
                <c:pt idx="18">
                  <c:v>2020</c:v>
                </c:pt>
                <c:pt idx="19">
                  <c:v>2021</c:v>
                </c:pt>
              </c:strCache>
            </c:strRef>
          </c:cat>
          <c:val>
            <c:numRef>
              <c:f>'Tabela 1'!$B$18:$U$18</c:f>
              <c:numCache>
                <c:formatCode>General</c:formatCode>
                <c:ptCount val="20"/>
                <c:pt idx="0">
                  <c:v>27389</c:v>
                </c:pt>
                <c:pt idx="1">
                  <c:v>29771</c:v>
                </c:pt>
                <c:pt idx="2">
                  <c:v>40081</c:v>
                </c:pt>
                <c:pt idx="3">
                  <c:v>36749</c:v>
                </c:pt>
                <c:pt idx="4">
                  <c:v>48916</c:v>
                </c:pt>
                <c:pt idx="5">
                  <c:v>45226</c:v>
                </c:pt>
                <c:pt idx="6">
                  <c:v>54858</c:v>
                </c:pt>
                <c:pt idx="7">
                  <c:v>57855</c:v>
                </c:pt>
                <c:pt idx="8">
                  <c:v>85934</c:v>
                </c:pt>
                <c:pt idx="9">
                  <c:v>89997</c:v>
                </c:pt>
                <c:pt idx="10">
                  <c:v>90040</c:v>
                </c:pt>
                <c:pt idx="11">
                  <c:v>86595</c:v>
                </c:pt>
                <c:pt idx="12">
                  <c:v>100846</c:v>
                </c:pt>
                <c:pt idx="13">
                  <c:v>101360</c:v>
                </c:pt>
                <c:pt idx="14">
                  <c:v>120263</c:v>
                </c:pt>
                <c:pt idx="15">
                  <c:v>124619</c:v>
                </c:pt>
                <c:pt idx="16">
                  <c:v>133750</c:v>
                </c:pt>
                <c:pt idx="17">
                  <c:v>123362</c:v>
                </c:pt>
                <c:pt idx="18">
                  <c:v>143681</c:v>
                </c:pt>
                <c:pt idx="19">
                  <c:v>161647</c:v>
                </c:pt>
              </c:numCache>
            </c:numRef>
          </c:val>
          <c:smooth val="0"/>
        </c:ser>
        <c:dLbls>
          <c:showBubbleSize val="0"/>
          <c:showCatName val="0"/>
          <c:showLeaderLines val="0"/>
          <c:showLegendKey val="0"/>
          <c:showPercent val="0"/>
          <c:showSerName val="0"/>
          <c:showVal val="0"/>
        </c:dLbls>
        <c:smooth val="0"/>
        <c:axId val="1287300751"/>
        <c:axId val="1443507103"/>
      </c:lineChart>
      <c:catAx>
        <c:axId val="1287300751"/>
        <c:scaling>
          <c:orientation val="minMax"/>
        </c:scaling>
        <c:delete val="0"/>
        <c:axPos val="b"/>
        <c:numFmt formatCode="General" sourceLinked="1"/>
        <c:majorTickMark val="none"/>
        <c:minorTickMark val="none"/>
        <c:tickLblPos val="nextTo"/>
        <c:spPr bwMode="auto">
          <a:prstGeom prst="rect">
            <a:avLst/>
          </a:prstGeom>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a:solidFill>
                  <a:schemeClr val="tx1">
                    <a:lumMod val="65000"/>
                    <a:lumOff val="35000"/>
                  </a:schemeClr>
                </a:solidFill>
                <a:latin typeface="+mn-lt"/>
                <a:ea typeface="+mn-ea"/>
                <a:cs typeface="+mn-cs"/>
              </a:defRPr>
            </a:pPr>
            <a:endParaRPr lang="pt-BR"/>
          </a:p>
        </c:txPr>
        <c:crossAx val="1443507103"/>
        <c:crosses val="autoZero"/>
        <c:auto val="1"/>
        <c:lblAlgn val="ctr"/>
        <c:lblOffset val="100"/>
        <c:tickLblSkip val="2"/>
        <c:noMultiLvlLbl val="0"/>
      </c:catAx>
      <c:valAx>
        <c:axId val="1443507103"/>
        <c:scaling>
          <c:orientation val="minMax"/>
        </c:scaling>
        <c:delete val="0"/>
        <c:axPos val="l"/>
        <c:majorGridlines>
          <c:spPr bwMode="auto">
            <a:prstGeom prst="rect">
              <a:avLst/>
            </a:prstGeom>
            <a:ln w="9525" cap="flat" cmpd="sng" algn="ctr">
              <a:solidFill>
                <a:schemeClr val="tx1">
                  <a:lumMod val="15000"/>
                  <a:lumOff val="85000"/>
                </a:schemeClr>
              </a:solidFill>
              <a:round/>
            </a:ln>
            <a:effectLst/>
          </c:spPr>
        </c:majorGridlines>
        <c:numFmt formatCode="General" sourceLinked="1"/>
        <c:majorTickMark val="none"/>
        <c:minorTickMark val="none"/>
        <c:tickLblPos val="nextTo"/>
        <c:spPr bwMode="auto">
          <a:prstGeom prst="rect">
            <a:avLst/>
          </a:prstGeom>
          <a:noFill/>
          <a:ln>
            <a:noFill/>
          </a:ln>
          <a:effectLst/>
        </c:spPr>
        <c:txPr>
          <a:bodyPr rot="-60000000" spcFirstLastPara="1" vertOverflow="ellipsis" vert="horz" wrap="square" anchor="ctr" anchorCtr="1"/>
          <a:lstStyle/>
          <a:p>
            <a:pPr>
              <a:defRPr sz="900" b="0" i="0" u="none" strike="noStrike">
                <a:solidFill>
                  <a:schemeClr val="tx1">
                    <a:lumMod val="65000"/>
                    <a:lumOff val="35000"/>
                  </a:schemeClr>
                </a:solidFill>
                <a:latin typeface="+mn-lt"/>
                <a:ea typeface="+mn-ea"/>
                <a:cs typeface="+mn-cs"/>
              </a:defRPr>
            </a:pPr>
            <a:endParaRPr lang="pt-BR"/>
          </a:p>
        </c:txPr>
        <c:crossAx val="1287300751"/>
        <c:crosses val="autoZero"/>
        <c:crossBetween val="between"/>
      </c:valAx>
      <c:spPr bwMode="auto">
        <a:prstGeom prst="rect">
          <a:avLst/>
        </a:prstGeom>
        <a:noFill/>
        <a:ln>
          <a:noFill/>
        </a:ln>
        <a:effectLst/>
      </c:spPr>
    </c:plotArea>
    <c:legend>
      <c:legendPos val="b"/>
      <c:layout/>
      <c:overlay val="0"/>
      <c:spPr bwMode="auto">
        <a:prstGeom prst="rect">
          <a:avLst/>
        </a:prstGeom>
        <a:noFill/>
        <a:ln>
          <a:noFill/>
        </a:ln>
        <a:effectLst/>
      </c:spPr>
      <c:txPr>
        <a:bodyPr rot="0" spcFirstLastPara="1" vertOverflow="ellipsis" vert="horz" wrap="square" anchor="ctr" anchorCtr="1"/>
        <a:lstStyle/>
        <a:p>
          <a:pPr>
            <a:defRPr sz="900" b="0" i="0" u="none" strike="noStrike">
              <a:solidFill>
                <a:schemeClr val="tx1">
                  <a:lumMod val="65000"/>
                  <a:lumOff val="35000"/>
                </a:schemeClr>
              </a:solidFill>
              <a:latin typeface="+mn-lt"/>
              <a:ea typeface="+mn-ea"/>
              <a:cs typeface="+mn-cs"/>
            </a:defRPr>
          </a:pPr>
          <a:endParaRPr lang="pt-BR"/>
        </a:p>
      </c:txPr>
    </c:legend>
    <c:plotVisOnly val="1"/>
    <c:dispBlanksAs val="gap"/>
    <c:showDLblsOverMax val="0"/>
  </c:chart>
  <c:spPr bwMode="auto">
    <a:prstGeom prst="rect">
      <a:avLst/>
    </a:prstGeom>
    <a:solidFill>
      <a:schemeClr val="bg1"/>
    </a:solidFill>
    <a:ln w="9525" cap="flat" cmpd="sng" algn="ctr">
      <a:solidFill>
        <a:schemeClr val="tx1">
          <a:lumMod val="15000"/>
          <a:lumOff val="85000"/>
        </a:schemeClr>
      </a:solidFill>
      <a:round/>
    </a:ln>
    <a:effectLst/>
  </c:spPr>
  <c:txPr>
    <a:bodyPr/>
    <a:lstStyle/>
    <a:p>
      <a:pPr>
        <a:defRPr/>
      </a:pPr>
      <a:endParaRPr lang="pt-BR"/>
    </a:p>
  </c:txPr>
  <c:externalData r:id="rId1">
    <c:autoUpdate val="1"/>
  </c:externalData>
</c:chartSpace>
</file>

<file path=word/charts/chart2.xml><?xml version="1.0" encoding="utf-8"?>
<c:chartSpace xmlns:c="http://schemas.openxmlformats.org/drawingml/2006/chart" xmlns:a="http://schemas.openxmlformats.org/drawingml/2006/main" xmlns:r="http://schemas.openxmlformats.org/officeDocument/2006/relationships" xmlns:mc="http://schemas.openxmlformats.org/markup-compatibility/2006" xmlns:c15="http://schemas.microsoft.com/office/drawing/2012/chart" xmlns:c14="http://schemas.microsoft.com/office/drawing/2007/8/2/chart" xmlns:c16r2="http://schemas.microsoft.com/office/drawing/2015/06/chart">
  <c:date1904 val="0"/>
  <c:lang val="pt-BR"/>
  <c:roundedCorners val="0"/>
  <mc:AlternateContent>
    <mc:Choice Requires="c14">
      <c14:style val="102"/>
    </mc:Choice>
    <mc:Fallback>
      <c:style val="2"/>
    </mc:Fallback>
  </mc:AlternateContent>
  <c:chart>
    <c:autoTitleDeleted val="1"/>
    <c:plotArea>
      <c:layout/>
      <c:lineChart>
        <c:grouping val="standard"/>
        <c:varyColors val="0"/>
        <c:ser>
          <c:idx val="0"/>
          <c:order val="0"/>
          <c:tx>
            <c:strRef>
              <c:f>Planilha1!$A$2</c:f>
              <c:strCache>
                <c:ptCount val="1"/>
                <c:pt idx="0">
                  <c:v>Alfenas</c:v>
                </c:pt>
              </c:strCache>
            </c:strRef>
          </c:tx>
          <c:spPr bwMode="auto">
            <a:prstGeom prst="rect">
              <a:avLst/>
            </a:prstGeom>
            <a:ln w="28575" cap="rnd">
              <a:solidFill>
                <a:srgbClr val="FFC000"/>
              </a:solidFill>
              <a:round/>
            </a:ln>
            <a:effectLst/>
          </c:spPr>
          <c:marker>
            <c:symbol val="none"/>
          </c:marker>
          <c:cat>
            <c:numRef>
              <c:f>Planilha1!$B$1:$K$1</c:f>
              <c:numCache>
                <c:formatCode>General</c:formatCode>
                <c:ptCount val="10"/>
                <c:pt idx="0">
                  <c:v>2014</c:v>
                </c:pt>
                <c:pt idx="1">
                  <c:v>2015</c:v>
                </c:pt>
                <c:pt idx="2">
                  <c:v>2016</c:v>
                </c:pt>
                <c:pt idx="3">
                  <c:v>2017</c:v>
                </c:pt>
                <c:pt idx="4">
                  <c:v>2018</c:v>
                </c:pt>
                <c:pt idx="5">
                  <c:v>2019</c:v>
                </c:pt>
                <c:pt idx="6">
                  <c:v>2020</c:v>
                </c:pt>
                <c:pt idx="7">
                  <c:v>2021</c:v>
                </c:pt>
                <c:pt idx="8">
                  <c:v>2022</c:v>
                </c:pt>
                <c:pt idx="9">
                  <c:v>2023</c:v>
                </c:pt>
              </c:numCache>
            </c:numRef>
          </c:cat>
          <c:val>
            <c:numRef>
              <c:f>Planilha1!$B$2:$K$2</c:f>
              <c:numCache>
                <c:formatCode>General</c:formatCode>
                <c:ptCount val="10"/>
                <c:pt idx="0">
                  <c:v>932.15</c:v>
                </c:pt>
                <c:pt idx="1">
                  <c:v>1118.04</c:v>
                </c:pt>
                <c:pt idx="2">
                  <c:v>1204.4</c:v>
                </c:pt>
                <c:pt idx="3">
                  <c:v>1658.38</c:v>
                </c:pt>
                <c:pt idx="4">
                  <c:v>1418.77</c:v>
                </c:pt>
                <c:pt idx="5">
                  <c:v>1374.89</c:v>
                </c:pt>
                <c:pt idx="6">
                  <c:v>1625</c:v>
                </c:pt>
                <c:pt idx="7">
                  <c:v>2776.41</c:v>
                </c:pt>
                <c:pt idx="8">
                  <c:v>3655.24</c:v>
                </c:pt>
                <c:pt idx="9">
                  <c:v>2422.72</c:v>
                </c:pt>
              </c:numCache>
            </c:numRef>
          </c:val>
          <c:smooth val="0"/>
        </c:ser>
        <c:ser>
          <c:idx val="1"/>
          <c:order val="1"/>
          <c:tx>
            <c:strRef>
              <c:f>Planilha1!$A$3</c:f>
              <c:strCache>
                <c:ptCount val="1"/>
                <c:pt idx="0">
                  <c:v xml:space="preserve">Alterosa </c:v>
                </c:pt>
              </c:strCache>
            </c:strRef>
          </c:tx>
          <c:spPr bwMode="auto">
            <a:prstGeom prst="rect">
              <a:avLst/>
            </a:prstGeom>
            <a:ln w="28575" cap="rnd">
              <a:solidFill>
                <a:schemeClr val="accent2"/>
              </a:solidFill>
              <a:round/>
            </a:ln>
            <a:effectLst/>
          </c:spPr>
          <c:marker>
            <c:symbol val="none"/>
          </c:marker>
          <c:cat>
            <c:numRef>
              <c:f>Planilha1!$B$1:$K$1</c:f>
              <c:numCache>
                <c:formatCode>General</c:formatCode>
                <c:ptCount val="10"/>
                <c:pt idx="0">
                  <c:v>2014</c:v>
                </c:pt>
                <c:pt idx="1">
                  <c:v>2015</c:v>
                </c:pt>
                <c:pt idx="2">
                  <c:v>2016</c:v>
                </c:pt>
                <c:pt idx="3">
                  <c:v>2017</c:v>
                </c:pt>
                <c:pt idx="4">
                  <c:v>2018</c:v>
                </c:pt>
                <c:pt idx="5">
                  <c:v>2019</c:v>
                </c:pt>
                <c:pt idx="6">
                  <c:v>2020</c:v>
                </c:pt>
                <c:pt idx="7">
                  <c:v>2021</c:v>
                </c:pt>
                <c:pt idx="8">
                  <c:v>2022</c:v>
                </c:pt>
                <c:pt idx="9">
                  <c:v>2023</c:v>
                </c:pt>
              </c:numCache>
            </c:numRef>
          </c:cat>
          <c:val>
            <c:numRef>
              <c:f>Planilha1!$B$3:$K$3</c:f>
              <c:numCache>
                <c:formatCode>General</c:formatCode>
                <c:ptCount val="10"/>
                <c:pt idx="0">
                  <c:v>95.53</c:v>
                </c:pt>
                <c:pt idx="1">
                  <c:v>96.63</c:v>
                </c:pt>
                <c:pt idx="2">
                  <c:v>124.92</c:v>
                </c:pt>
                <c:pt idx="3">
                  <c:v>104.91</c:v>
                </c:pt>
                <c:pt idx="4">
                  <c:v>120.03</c:v>
                </c:pt>
                <c:pt idx="5">
                  <c:v>145.39</c:v>
                </c:pt>
                <c:pt idx="6">
                  <c:v>154.93</c:v>
                </c:pt>
                <c:pt idx="7">
                  <c:v>185.53</c:v>
                </c:pt>
                <c:pt idx="8">
                  <c:v>228.75</c:v>
                </c:pt>
                <c:pt idx="9">
                  <c:v>241.6</c:v>
                </c:pt>
              </c:numCache>
            </c:numRef>
          </c:val>
          <c:smooth val="0"/>
        </c:ser>
        <c:ser>
          <c:idx val="2"/>
          <c:order val="2"/>
          <c:tx>
            <c:strRef>
              <c:f>Planilha1!$A$4</c:f>
              <c:strCache>
                <c:ptCount val="1"/>
                <c:pt idx="0">
                  <c:v>Areado</c:v>
                </c:pt>
              </c:strCache>
            </c:strRef>
          </c:tx>
          <c:spPr bwMode="auto">
            <a:prstGeom prst="rect">
              <a:avLst/>
            </a:prstGeom>
            <a:ln w="28575" cap="rnd">
              <a:solidFill>
                <a:schemeClr val="accent3"/>
              </a:solidFill>
              <a:round/>
            </a:ln>
            <a:effectLst/>
          </c:spPr>
          <c:marker>
            <c:symbol val="none"/>
          </c:marker>
          <c:cat>
            <c:numRef>
              <c:f>Planilha1!$B$1:$K$1</c:f>
              <c:numCache>
                <c:formatCode>General</c:formatCode>
                <c:ptCount val="10"/>
                <c:pt idx="0">
                  <c:v>2014</c:v>
                </c:pt>
                <c:pt idx="1">
                  <c:v>2015</c:v>
                </c:pt>
                <c:pt idx="2">
                  <c:v>2016</c:v>
                </c:pt>
                <c:pt idx="3">
                  <c:v>2017</c:v>
                </c:pt>
                <c:pt idx="4">
                  <c:v>2018</c:v>
                </c:pt>
                <c:pt idx="5">
                  <c:v>2019</c:v>
                </c:pt>
                <c:pt idx="6">
                  <c:v>2020</c:v>
                </c:pt>
                <c:pt idx="7">
                  <c:v>2021</c:v>
                </c:pt>
                <c:pt idx="8">
                  <c:v>2022</c:v>
                </c:pt>
                <c:pt idx="9">
                  <c:v>2023</c:v>
                </c:pt>
              </c:numCache>
            </c:numRef>
          </c:cat>
          <c:val>
            <c:numRef>
              <c:f>Planilha1!$B$4:$K$4</c:f>
              <c:numCache>
                <c:formatCode>General</c:formatCode>
                <c:ptCount val="10"/>
                <c:pt idx="0">
                  <c:v>93.03</c:v>
                </c:pt>
                <c:pt idx="1">
                  <c:v>104.78</c:v>
                </c:pt>
                <c:pt idx="2">
                  <c:v>114.44</c:v>
                </c:pt>
                <c:pt idx="3">
                  <c:v>104.84</c:v>
                </c:pt>
                <c:pt idx="4">
                  <c:v>112.85</c:v>
                </c:pt>
                <c:pt idx="5">
                  <c:v>126.33</c:v>
                </c:pt>
                <c:pt idx="6">
                  <c:v>158.12</c:v>
                </c:pt>
                <c:pt idx="7">
                  <c:v>198.42</c:v>
                </c:pt>
                <c:pt idx="8">
                  <c:v>222.21</c:v>
                </c:pt>
                <c:pt idx="9">
                  <c:v>232.66</c:v>
                </c:pt>
              </c:numCache>
            </c:numRef>
          </c:val>
          <c:smooth val="0"/>
        </c:ser>
        <c:ser>
          <c:idx val="3"/>
          <c:order val="3"/>
          <c:tx>
            <c:strRef>
              <c:f>Planilha1!$A$5</c:f>
              <c:strCache>
                <c:ptCount val="1"/>
                <c:pt idx="0">
                  <c:v>Campo do Meio</c:v>
                </c:pt>
              </c:strCache>
            </c:strRef>
          </c:tx>
          <c:spPr bwMode="auto">
            <a:prstGeom prst="rect">
              <a:avLst/>
            </a:prstGeom>
            <a:ln w="28575" cap="rnd">
              <a:solidFill>
                <a:schemeClr val="accent4"/>
              </a:solidFill>
              <a:round/>
            </a:ln>
            <a:effectLst/>
          </c:spPr>
          <c:marker>
            <c:symbol val="none"/>
          </c:marker>
          <c:cat>
            <c:numRef>
              <c:f>Planilha1!$B$1:$K$1</c:f>
              <c:numCache>
                <c:formatCode>General</c:formatCode>
                <c:ptCount val="10"/>
                <c:pt idx="0">
                  <c:v>2014</c:v>
                </c:pt>
                <c:pt idx="1">
                  <c:v>2015</c:v>
                </c:pt>
                <c:pt idx="2">
                  <c:v>2016</c:v>
                </c:pt>
                <c:pt idx="3">
                  <c:v>2017</c:v>
                </c:pt>
                <c:pt idx="4">
                  <c:v>2018</c:v>
                </c:pt>
                <c:pt idx="5">
                  <c:v>2019</c:v>
                </c:pt>
                <c:pt idx="6">
                  <c:v>2020</c:v>
                </c:pt>
                <c:pt idx="7">
                  <c:v>2021</c:v>
                </c:pt>
                <c:pt idx="8">
                  <c:v>2022</c:v>
                </c:pt>
                <c:pt idx="9">
                  <c:v>2023</c:v>
                </c:pt>
              </c:numCache>
            </c:numRef>
          </c:cat>
          <c:val>
            <c:numRef>
              <c:f>Planilha1!$B$5:$K$5</c:f>
              <c:numCache>
                <c:formatCode>General</c:formatCode>
                <c:ptCount val="10"/>
                <c:pt idx="0">
                  <c:v>91.19</c:v>
                </c:pt>
                <c:pt idx="1">
                  <c:v>90.91</c:v>
                </c:pt>
                <c:pt idx="2">
                  <c:v>120.37</c:v>
                </c:pt>
                <c:pt idx="3">
                  <c:v>132.27</c:v>
                </c:pt>
                <c:pt idx="4">
                  <c:v>121.6</c:v>
                </c:pt>
                <c:pt idx="5">
                  <c:v>148.35</c:v>
                </c:pt>
                <c:pt idx="6">
                  <c:v>215.39</c:v>
                </c:pt>
                <c:pt idx="7">
                  <c:v>254.33</c:v>
                </c:pt>
                <c:pt idx="8">
                  <c:v>292.3</c:v>
                </c:pt>
                <c:pt idx="9">
                  <c:v>352.05</c:v>
                </c:pt>
              </c:numCache>
            </c:numRef>
          </c:val>
          <c:smooth val="0"/>
        </c:ser>
        <c:ser>
          <c:idx val="4"/>
          <c:order val="4"/>
          <c:tx>
            <c:strRef>
              <c:f>Planilha1!$A$6</c:f>
              <c:strCache>
                <c:ptCount val="1"/>
                <c:pt idx="0">
                  <c:v>Campos Gerais</c:v>
                </c:pt>
              </c:strCache>
            </c:strRef>
          </c:tx>
          <c:spPr bwMode="auto">
            <a:prstGeom prst="rect">
              <a:avLst/>
            </a:prstGeom>
            <a:ln w="28575" cap="rnd">
              <a:solidFill>
                <a:schemeClr val="accent5"/>
              </a:solidFill>
              <a:round/>
            </a:ln>
            <a:effectLst/>
          </c:spPr>
          <c:marker>
            <c:symbol val="none"/>
          </c:marker>
          <c:cat>
            <c:numRef>
              <c:f>Planilha1!$B$1:$K$1</c:f>
              <c:numCache>
                <c:formatCode>General</c:formatCode>
                <c:ptCount val="10"/>
                <c:pt idx="0">
                  <c:v>2014</c:v>
                </c:pt>
                <c:pt idx="1">
                  <c:v>2015</c:v>
                </c:pt>
                <c:pt idx="2">
                  <c:v>2016</c:v>
                </c:pt>
                <c:pt idx="3">
                  <c:v>2017</c:v>
                </c:pt>
                <c:pt idx="4">
                  <c:v>2018</c:v>
                </c:pt>
                <c:pt idx="5">
                  <c:v>2019</c:v>
                </c:pt>
                <c:pt idx="6">
                  <c:v>2020</c:v>
                </c:pt>
                <c:pt idx="7">
                  <c:v>2021</c:v>
                </c:pt>
                <c:pt idx="8">
                  <c:v>2022</c:v>
                </c:pt>
                <c:pt idx="9">
                  <c:v>2023</c:v>
                </c:pt>
              </c:numCache>
            </c:numRef>
          </c:cat>
          <c:val>
            <c:numRef>
              <c:f>Planilha1!$B$6:$K$6</c:f>
              <c:numCache>
                <c:formatCode>General</c:formatCode>
                <c:ptCount val="10"/>
                <c:pt idx="0">
                  <c:v>315.03</c:v>
                </c:pt>
                <c:pt idx="1">
                  <c:v>303.73</c:v>
                </c:pt>
                <c:pt idx="2">
                  <c:v>435.66</c:v>
                </c:pt>
                <c:pt idx="3">
                  <c:v>313.28</c:v>
                </c:pt>
                <c:pt idx="4">
                  <c:v>434.73</c:v>
                </c:pt>
                <c:pt idx="5">
                  <c:v>506.68</c:v>
                </c:pt>
                <c:pt idx="6">
                  <c:v>713.13</c:v>
                </c:pt>
                <c:pt idx="7">
                  <c:v>655.69</c:v>
                </c:pt>
                <c:pt idx="8">
                  <c:v>989.23</c:v>
                </c:pt>
                <c:pt idx="9">
                  <c:v>1179.09</c:v>
                </c:pt>
              </c:numCache>
            </c:numRef>
          </c:val>
          <c:smooth val="0"/>
        </c:ser>
        <c:ser>
          <c:idx val="5"/>
          <c:order val="5"/>
          <c:tx>
            <c:strRef>
              <c:f>Planilha1!$A$7</c:f>
              <c:strCache>
                <c:ptCount val="1"/>
                <c:pt idx="0">
                  <c:v>Carvalhópolis</c:v>
                </c:pt>
              </c:strCache>
            </c:strRef>
          </c:tx>
          <c:spPr bwMode="auto">
            <a:prstGeom prst="rect">
              <a:avLst/>
            </a:prstGeom>
            <a:ln w="28575" cap="rnd">
              <a:solidFill>
                <a:schemeClr val="accent6"/>
              </a:solidFill>
              <a:round/>
            </a:ln>
            <a:effectLst/>
          </c:spPr>
          <c:marker>
            <c:symbol val="none"/>
          </c:marker>
          <c:cat>
            <c:numRef>
              <c:f>Planilha1!$B$1:$K$1</c:f>
              <c:numCache>
                <c:formatCode>General</c:formatCode>
                <c:ptCount val="10"/>
                <c:pt idx="0">
                  <c:v>2014</c:v>
                </c:pt>
                <c:pt idx="1">
                  <c:v>2015</c:v>
                </c:pt>
                <c:pt idx="2">
                  <c:v>2016</c:v>
                </c:pt>
                <c:pt idx="3">
                  <c:v>2017</c:v>
                </c:pt>
                <c:pt idx="4">
                  <c:v>2018</c:v>
                </c:pt>
                <c:pt idx="5">
                  <c:v>2019</c:v>
                </c:pt>
                <c:pt idx="6">
                  <c:v>2020</c:v>
                </c:pt>
                <c:pt idx="7">
                  <c:v>2021</c:v>
                </c:pt>
                <c:pt idx="8">
                  <c:v>2022</c:v>
                </c:pt>
                <c:pt idx="9">
                  <c:v>2023</c:v>
                </c:pt>
              </c:numCache>
            </c:numRef>
          </c:cat>
          <c:val>
            <c:numRef>
              <c:f>Planilha1!$B$7:$K$7</c:f>
              <c:numCache>
                <c:formatCode>General</c:formatCode>
                <c:ptCount val="10"/>
                <c:pt idx="0">
                  <c:v>21.9</c:v>
                </c:pt>
                <c:pt idx="1">
                  <c:v>27.79</c:v>
                </c:pt>
                <c:pt idx="2">
                  <c:v>31.28</c:v>
                </c:pt>
                <c:pt idx="3">
                  <c:v>25.29</c:v>
                </c:pt>
                <c:pt idx="4">
                  <c:v>25.59</c:v>
                </c:pt>
                <c:pt idx="5">
                  <c:v>31.53</c:v>
                </c:pt>
                <c:pt idx="6">
                  <c:v>36.37</c:v>
                </c:pt>
                <c:pt idx="7">
                  <c:v>47.37</c:v>
                </c:pt>
                <c:pt idx="8">
                  <c:v>59.41</c:v>
                </c:pt>
                <c:pt idx="9">
                  <c:v>66.47</c:v>
                </c:pt>
              </c:numCache>
            </c:numRef>
          </c:val>
          <c:smooth val="0"/>
        </c:ser>
        <c:ser>
          <c:idx val="6"/>
          <c:order val="6"/>
          <c:tx>
            <c:strRef>
              <c:f>Planilha1!$A$8</c:f>
              <c:strCache>
                <c:ptCount val="1"/>
                <c:pt idx="0">
                  <c:v>Conceição da Aparecida</c:v>
                </c:pt>
              </c:strCache>
            </c:strRef>
          </c:tx>
          <c:spPr bwMode="auto">
            <a:prstGeom prst="rect">
              <a:avLst/>
            </a:prstGeom>
            <a:ln w="28575" cap="rnd">
              <a:solidFill>
                <a:schemeClr val="accent1">
                  <a:lumMod val="60000"/>
                </a:schemeClr>
              </a:solidFill>
              <a:round/>
            </a:ln>
            <a:effectLst/>
          </c:spPr>
          <c:marker>
            <c:symbol val="none"/>
          </c:marker>
          <c:cat>
            <c:numRef>
              <c:f>Planilha1!$B$1:$K$1</c:f>
              <c:numCache>
                <c:formatCode>General</c:formatCode>
                <c:ptCount val="10"/>
                <c:pt idx="0">
                  <c:v>2014</c:v>
                </c:pt>
                <c:pt idx="1">
                  <c:v>2015</c:v>
                </c:pt>
                <c:pt idx="2">
                  <c:v>2016</c:v>
                </c:pt>
                <c:pt idx="3">
                  <c:v>2017</c:v>
                </c:pt>
                <c:pt idx="4">
                  <c:v>2018</c:v>
                </c:pt>
                <c:pt idx="5">
                  <c:v>2019</c:v>
                </c:pt>
                <c:pt idx="6">
                  <c:v>2020</c:v>
                </c:pt>
                <c:pt idx="7">
                  <c:v>2021</c:v>
                </c:pt>
                <c:pt idx="8">
                  <c:v>2022</c:v>
                </c:pt>
                <c:pt idx="9">
                  <c:v>2023</c:v>
                </c:pt>
              </c:numCache>
            </c:numRef>
          </c:cat>
          <c:val>
            <c:numRef>
              <c:f>Planilha1!$B$8:$K$8</c:f>
              <c:numCache>
                <c:formatCode>General</c:formatCode>
                <c:ptCount val="10"/>
                <c:pt idx="0">
                  <c:v>157.93</c:v>
                </c:pt>
                <c:pt idx="1">
                  <c:v>163.75</c:v>
                </c:pt>
                <c:pt idx="2">
                  <c:v>198.04</c:v>
                </c:pt>
                <c:pt idx="3">
                  <c:v>160.79</c:v>
                </c:pt>
                <c:pt idx="4">
                  <c:v>163.09</c:v>
                </c:pt>
                <c:pt idx="5">
                  <c:v>215.11</c:v>
                </c:pt>
                <c:pt idx="6">
                  <c:v>229.55</c:v>
                </c:pt>
                <c:pt idx="7">
                  <c:v>281.26</c:v>
                </c:pt>
                <c:pt idx="8">
                  <c:v>307.87</c:v>
                </c:pt>
                <c:pt idx="9">
                  <c:v>326.68</c:v>
                </c:pt>
              </c:numCache>
            </c:numRef>
          </c:val>
          <c:smooth val="0"/>
        </c:ser>
        <c:ser>
          <c:idx val="7"/>
          <c:order val="7"/>
          <c:tx>
            <c:strRef>
              <c:f>Planilha1!$A$9</c:f>
              <c:strCache>
                <c:ptCount val="1"/>
                <c:pt idx="0">
                  <c:v>Divisa Nova</c:v>
                </c:pt>
              </c:strCache>
            </c:strRef>
          </c:tx>
          <c:spPr bwMode="auto">
            <a:prstGeom prst="rect">
              <a:avLst/>
            </a:prstGeom>
            <a:ln w="28575" cap="rnd">
              <a:solidFill>
                <a:schemeClr val="accent2">
                  <a:lumMod val="60000"/>
                </a:schemeClr>
              </a:solidFill>
              <a:round/>
            </a:ln>
            <a:effectLst/>
          </c:spPr>
          <c:marker>
            <c:symbol val="none"/>
          </c:marker>
          <c:cat>
            <c:numRef>
              <c:f>Planilha1!$B$1:$K$1</c:f>
              <c:numCache>
                <c:formatCode>General</c:formatCode>
                <c:ptCount val="10"/>
                <c:pt idx="0">
                  <c:v>2014</c:v>
                </c:pt>
                <c:pt idx="1">
                  <c:v>2015</c:v>
                </c:pt>
                <c:pt idx="2">
                  <c:v>2016</c:v>
                </c:pt>
                <c:pt idx="3">
                  <c:v>2017</c:v>
                </c:pt>
                <c:pt idx="4">
                  <c:v>2018</c:v>
                </c:pt>
                <c:pt idx="5">
                  <c:v>2019</c:v>
                </c:pt>
                <c:pt idx="6">
                  <c:v>2020</c:v>
                </c:pt>
                <c:pt idx="7">
                  <c:v>2021</c:v>
                </c:pt>
                <c:pt idx="8">
                  <c:v>2022</c:v>
                </c:pt>
                <c:pt idx="9">
                  <c:v>2023</c:v>
                </c:pt>
              </c:numCache>
            </c:numRef>
          </c:cat>
          <c:val>
            <c:numRef>
              <c:f>Planilha1!$B$9:$K$9</c:f>
              <c:numCache>
                <c:formatCode>General</c:formatCode>
                <c:ptCount val="10"/>
                <c:pt idx="0">
                  <c:v>40.74</c:v>
                </c:pt>
                <c:pt idx="1">
                  <c:v>49.13</c:v>
                </c:pt>
                <c:pt idx="2">
                  <c:v>58.46</c:v>
                </c:pt>
                <c:pt idx="3">
                  <c:v>64.96</c:v>
                </c:pt>
                <c:pt idx="4">
                  <c:v>63.51</c:v>
                </c:pt>
                <c:pt idx="5">
                  <c:v>76.52</c:v>
                </c:pt>
                <c:pt idx="6">
                  <c:v>95.75</c:v>
                </c:pt>
                <c:pt idx="7">
                  <c:v>111.1</c:v>
                </c:pt>
                <c:pt idx="8">
                  <c:v>138.38</c:v>
                </c:pt>
                <c:pt idx="9">
                  <c:v>161.45</c:v>
                </c:pt>
              </c:numCache>
            </c:numRef>
          </c:val>
          <c:smooth val="0"/>
        </c:ser>
        <c:ser>
          <c:idx val="8"/>
          <c:order val="8"/>
          <c:tx>
            <c:strRef>
              <c:f>Planilha1!$A$10</c:f>
              <c:strCache>
                <c:ptCount val="1"/>
                <c:pt idx="0">
                  <c:v>Fama</c:v>
                </c:pt>
              </c:strCache>
            </c:strRef>
          </c:tx>
          <c:spPr bwMode="auto">
            <a:prstGeom prst="rect">
              <a:avLst/>
            </a:prstGeom>
            <a:ln w="28575" cap="rnd">
              <a:solidFill>
                <a:schemeClr val="accent3">
                  <a:lumMod val="60000"/>
                </a:schemeClr>
              </a:solidFill>
              <a:round/>
            </a:ln>
            <a:effectLst/>
          </c:spPr>
          <c:marker>
            <c:symbol val="none"/>
          </c:marker>
          <c:cat>
            <c:numRef>
              <c:f>Planilha1!$B$1:$K$1</c:f>
              <c:numCache>
                <c:formatCode>General</c:formatCode>
                <c:ptCount val="10"/>
                <c:pt idx="0">
                  <c:v>2014</c:v>
                </c:pt>
                <c:pt idx="1">
                  <c:v>2015</c:v>
                </c:pt>
                <c:pt idx="2">
                  <c:v>2016</c:v>
                </c:pt>
                <c:pt idx="3">
                  <c:v>2017</c:v>
                </c:pt>
                <c:pt idx="4">
                  <c:v>2018</c:v>
                </c:pt>
                <c:pt idx="5">
                  <c:v>2019</c:v>
                </c:pt>
                <c:pt idx="6">
                  <c:v>2020</c:v>
                </c:pt>
                <c:pt idx="7">
                  <c:v>2021</c:v>
                </c:pt>
                <c:pt idx="8">
                  <c:v>2022</c:v>
                </c:pt>
                <c:pt idx="9">
                  <c:v>2023</c:v>
                </c:pt>
              </c:numCache>
            </c:numRef>
          </c:cat>
          <c:val>
            <c:numRef>
              <c:f>Planilha1!$B$10:$K$10</c:f>
              <c:numCache>
                <c:formatCode>General</c:formatCode>
                <c:ptCount val="10"/>
                <c:pt idx="0">
                  <c:v>21.61</c:v>
                </c:pt>
                <c:pt idx="1">
                  <c:v>18.54</c:v>
                </c:pt>
                <c:pt idx="2">
                  <c:v>30.48</c:v>
                </c:pt>
                <c:pt idx="3">
                  <c:v>21.2</c:v>
                </c:pt>
                <c:pt idx="4">
                  <c:v>29.55</c:v>
                </c:pt>
                <c:pt idx="5">
                  <c:v>27.38</c:v>
                </c:pt>
                <c:pt idx="6">
                  <c:v>42.85</c:v>
                </c:pt>
                <c:pt idx="7">
                  <c:v>41</c:v>
                </c:pt>
                <c:pt idx="8">
                  <c:v>56.37</c:v>
                </c:pt>
                <c:pt idx="9">
                  <c:v>81.86</c:v>
                </c:pt>
              </c:numCache>
            </c:numRef>
          </c:val>
          <c:smooth val="0"/>
        </c:ser>
        <c:ser>
          <c:idx val="9"/>
          <c:order val="9"/>
          <c:tx>
            <c:strRef>
              <c:f>Planilha1!$A$11</c:f>
              <c:strCache>
                <c:ptCount val="1"/>
                <c:pt idx="0">
                  <c:v>Machado</c:v>
                </c:pt>
              </c:strCache>
            </c:strRef>
          </c:tx>
          <c:spPr bwMode="auto">
            <a:prstGeom prst="rect">
              <a:avLst/>
            </a:prstGeom>
            <a:ln w="28575" cap="rnd">
              <a:solidFill>
                <a:srgbClr val="92D050"/>
              </a:solidFill>
              <a:round/>
            </a:ln>
            <a:effectLst/>
          </c:spPr>
          <c:marker>
            <c:symbol val="none"/>
          </c:marker>
          <c:cat>
            <c:numRef>
              <c:f>Planilha1!$B$1:$K$1</c:f>
              <c:numCache>
                <c:formatCode>General</c:formatCode>
                <c:ptCount val="10"/>
                <c:pt idx="0">
                  <c:v>2014</c:v>
                </c:pt>
                <c:pt idx="1">
                  <c:v>2015</c:v>
                </c:pt>
                <c:pt idx="2">
                  <c:v>2016</c:v>
                </c:pt>
                <c:pt idx="3">
                  <c:v>2017</c:v>
                </c:pt>
                <c:pt idx="4">
                  <c:v>2018</c:v>
                </c:pt>
                <c:pt idx="5">
                  <c:v>2019</c:v>
                </c:pt>
                <c:pt idx="6">
                  <c:v>2020</c:v>
                </c:pt>
                <c:pt idx="7">
                  <c:v>2021</c:v>
                </c:pt>
                <c:pt idx="8">
                  <c:v>2022</c:v>
                </c:pt>
                <c:pt idx="9">
                  <c:v>2023</c:v>
                </c:pt>
              </c:numCache>
            </c:numRef>
          </c:cat>
          <c:val>
            <c:numRef>
              <c:f>Planilha1!$B$11:$K$11</c:f>
              <c:numCache>
                <c:formatCode>General</c:formatCode>
                <c:ptCount val="10"/>
                <c:pt idx="0">
                  <c:v>607.22</c:v>
                </c:pt>
                <c:pt idx="1">
                  <c:v>665.17</c:v>
                </c:pt>
                <c:pt idx="2">
                  <c:v>835.71</c:v>
                </c:pt>
                <c:pt idx="3">
                  <c:v>780.79</c:v>
                </c:pt>
                <c:pt idx="4">
                  <c:v>846.1</c:v>
                </c:pt>
                <c:pt idx="5">
                  <c:v>891.12</c:v>
                </c:pt>
                <c:pt idx="6">
                  <c:v>1003.72</c:v>
                </c:pt>
                <c:pt idx="7">
                  <c:v>1844.27</c:v>
                </c:pt>
                <c:pt idx="8">
                  <c:v>1787.86</c:v>
                </c:pt>
                <c:pt idx="9">
                  <c:v>1433.38</c:v>
                </c:pt>
              </c:numCache>
            </c:numRef>
          </c:val>
          <c:smooth val="0"/>
        </c:ser>
        <c:ser>
          <c:idx val="10"/>
          <c:order val="10"/>
          <c:tx>
            <c:strRef>
              <c:f>Planilha1!$A$12</c:f>
              <c:strCache>
                <c:ptCount val="1"/>
                <c:pt idx="0">
                  <c:v>Paraguaçu</c:v>
                </c:pt>
              </c:strCache>
            </c:strRef>
          </c:tx>
          <c:spPr bwMode="auto">
            <a:prstGeom prst="rect">
              <a:avLst/>
            </a:prstGeom>
            <a:ln w="28575" cap="rnd">
              <a:solidFill>
                <a:schemeClr val="accent5">
                  <a:lumMod val="60000"/>
                </a:schemeClr>
              </a:solidFill>
              <a:round/>
            </a:ln>
            <a:effectLst/>
          </c:spPr>
          <c:marker>
            <c:symbol val="none"/>
          </c:marker>
          <c:cat>
            <c:numRef>
              <c:f>Planilha1!$B$1:$K$1</c:f>
              <c:numCache>
                <c:formatCode>General</c:formatCode>
                <c:ptCount val="10"/>
                <c:pt idx="0">
                  <c:v>2014</c:v>
                </c:pt>
                <c:pt idx="1">
                  <c:v>2015</c:v>
                </c:pt>
                <c:pt idx="2">
                  <c:v>2016</c:v>
                </c:pt>
                <c:pt idx="3">
                  <c:v>2017</c:v>
                </c:pt>
                <c:pt idx="4">
                  <c:v>2018</c:v>
                </c:pt>
                <c:pt idx="5">
                  <c:v>2019</c:v>
                </c:pt>
                <c:pt idx="6">
                  <c:v>2020</c:v>
                </c:pt>
                <c:pt idx="7">
                  <c:v>2021</c:v>
                </c:pt>
                <c:pt idx="8">
                  <c:v>2022</c:v>
                </c:pt>
                <c:pt idx="9">
                  <c:v>2023</c:v>
                </c:pt>
              </c:numCache>
            </c:numRef>
          </c:cat>
          <c:val>
            <c:numRef>
              <c:f>Planilha1!$B$12:$K$12</c:f>
              <c:numCache>
                <c:formatCode>General</c:formatCode>
                <c:ptCount val="10"/>
                <c:pt idx="0">
                  <c:v>216.5</c:v>
                </c:pt>
                <c:pt idx="1">
                  <c:v>229.54</c:v>
                </c:pt>
                <c:pt idx="2">
                  <c:v>301.67</c:v>
                </c:pt>
                <c:pt idx="3">
                  <c:v>307.39</c:v>
                </c:pt>
                <c:pt idx="4">
                  <c:v>307.17</c:v>
                </c:pt>
                <c:pt idx="5">
                  <c:v>338.39</c:v>
                </c:pt>
                <c:pt idx="6">
                  <c:v>455.41</c:v>
                </c:pt>
                <c:pt idx="7">
                  <c:v>447.65</c:v>
                </c:pt>
                <c:pt idx="8">
                  <c:v>571.82</c:v>
                </c:pt>
                <c:pt idx="9">
                  <c:v>650.74</c:v>
                </c:pt>
              </c:numCache>
            </c:numRef>
          </c:val>
          <c:smooth val="0"/>
        </c:ser>
        <c:ser>
          <c:idx val="11"/>
          <c:order val="11"/>
          <c:tx>
            <c:strRef>
              <c:f>Planilha1!$A$13</c:f>
              <c:strCache>
                <c:ptCount val="1"/>
                <c:pt idx="0">
                  <c:v>Poço Fundo</c:v>
                </c:pt>
              </c:strCache>
            </c:strRef>
          </c:tx>
          <c:spPr bwMode="auto">
            <a:prstGeom prst="rect">
              <a:avLst/>
            </a:prstGeom>
            <a:ln w="28575" cap="rnd">
              <a:solidFill>
                <a:schemeClr val="accent6">
                  <a:lumMod val="60000"/>
                </a:schemeClr>
              </a:solidFill>
              <a:round/>
            </a:ln>
            <a:effectLst/>
          </c:spPr>
          <c:marker>
            <c:symbol val="none"/>
          </c:marker>
          <c:cat>
            <c:numRef>
              <c:f>Planilha1!$B$1:$K$1</c:f>
              <c:numCache>
                <c:formatCode>General</c:formatCode>
                <c:ptCount val="10"/>
                <c:pt idx="0">
                  <c:v>2014</c:v>
                </c:pt>
                <c:pt idx="1">
                  <c:v>2015</c:v>
                </c:pt>
                <c:pt idx="2">
                  <c:v>2016</c:v>
                </c:pt>
                <c:pt idx="3">
                  <c:v>2017</c:v>
                </c:pt>
                <c:pt idx="4">
                  <c:v>2018</c:v>
                </c:pt>
                <c:pt idx="5">
                  <c:v>2019</c:v>
                </c:pt>
                <c:pt idx="6">
                  <c:v>2020</c:v>
                </c:pt>
                <c:pt idx="7">
                  <c:v>2021</c:v>
                </c:pt>
                <c:pt idx="8">
                  <c:v>2022</c:v>
                </c:pt>
                <c:pt idx="9">
                  <c:v>2023</c:v>
                </c:pt>
              </c:numCache>
            </c:numRef>
          </c:cat>
          <c:val>
            <c:numRef>
              <c:f>Planilha1!$B$13:$K$13</c:f>
              <c:numCache>
                <c:formatCode>General</c:formatCode>
                <c:ptCount val="10"/>
                <c:pt idx="0">
                  <c:v>151.74</c:v>
                </c:pt>
                <c:pt idx="1">
                  <c:v>176.7</c:v>
                </c:pt>
                <c:pt idx="2">
                  <c:v>186.82</c:v>
                </c:pt>
                <c:pt idx="3">
                  <c:v>147.39</c:v>
                </c:pt>
                <c:pt idx="4">
                  <c:v>182.91</c:v>
                </c:pt>
                <c:pt idx="5">
                  <c:v>199.82</c:v>
                </c:pt>
                <c:pt idx="6">
                  <c:v>231.12</c:v>
                </c:pt>
                <c:pt idx="7">
                  <c:v>301.81</c:v>
                </c:pt>
                <c:pt idx="8">
                  <c:v>271.31</c:v>
                </c:pt>
                <c:pt idx="9">
                  <c:v>337.12</c:v>
                </c:pt>
              </c:numCache>
            </c:numRef>
          </c:val>
          <c:smooth val="0"/>
        </c:ser>
        <c:ser>
          <c:idx val="12"/>
          <c:order val="12"/>
          <c:tx>
            <c:strRef>
              <c:f>Planilha1!$A$14</c:f>
              <c:strCache>
                <c:ptCount val="1"/>
                <c:pt idx="0">
                  <c:v>Serrania</c:v>
                </c:pt>
              </c:strCache>
            </c:strRef>
          </c:tx>
          <c:spPr bwMode="auto">
            <a:prstGeom prst="rect">
              <a:avLst/>
            </a:prstGeom>
            <a:ln w="28575" cap="rnd">
              <a:solidFill>
                <a:schemeClr val="accent1">
                  <a:lumMod val="80000"/>
                  <a:lumOff val="20000"/>
                </a:schemeClr>
              </a:solidFill>
              <a:round/>
            </a:ln>
            <a:effectLst/>
          </c:spPr>
          <c:marker>
            <c:symbol val="none"/>
          </c:marker>
          <c:cat>
            <c:numRef>
              <c:f>Planilha1!$B$1:$K$1</c:f>
              <c:numCache>
                <c:formatCode>General</c:formatCode>
                <c:ptCount val="10"/>
                <c:pt idx="0">
                  <c:v>2014</c:v>
                </c:pt>
                <c:pt idx="1">
                  <c:v>2015</c:v>
                </c:pt>
                <c:pt idx="2">
                  <c:v>2016</c:v>
                </c:pt>
                <c:pt idx="3">
                  <c:v>2017</c:v>
                </c:pt>
                <c:pt idx="4">
                  <c:v>2018</c:v>
                </c:pt>
                <c:pt idx="5">
                  <c:v>2019</c:v>
                </c:pt>
                <c:pt idx="6">
                  <c:v>2020</c:v>
                </c:pt>
                <c:pt idx="7">
                  <c:v>2021</c:v>
                </c:pt>
                <c:pt idx="8">
                  <c:v>2022</c:v>
                </c:pt>
                <c:pt idx="9">
                  <c:v>2023</c:v>
                </c:pt>
              </c:numCache>
            </c:numRef>
          </c:cat>
          <c:val>
            <c:numRef>
              <c:f>Planilha1!$B$14:$K$14</c:f>
              <c:numCache>
                <c:formatCode>General</c:formatCode>
                <c:ptCount val="10"/>
                <c:pt idx="0">
                  <c:v>67.7</c:v>
                </c:pt>
                <c:pt idx="1">
                  <c:v>63.21</c:v>
                </c:pt>
                <c:pt idx="2">
                  <c:v>82.58</c:v>
                </c:pt>
                <c:pt idx="3">
                  <c:v>77.2</c:v>
                </c:pt>
                <c:pt idx="4">
                  <c:v>79.9</c:v>
                </c:pt>
                <c:pt idx="5">
                  <c:v>85.87</c:v>
                </c:pt>
                <c:pt idx="6">
                  <c:v>97.46</c:v>
                </c:pt>
                <c:pt idx="7">
                  <c:v>105.05</c:v>
                </c:pt>
                <c:pt idx="8">
                  <c:v>115.44</c:v>
                </c:pt>
                <c:pt idx="9">
                  <c:v>148.57</c:v>
                </c:pt>
              </c:numCache>
            </c:numRef>
          </c:val>
          <c:smooth val="0"/>
        </c:ser>
        <c:dLbls>
          <c:showBubbleSize val="0"/>
          <c:showCatName val="0"/>
          <c:showLeaderLines val="0"/>
          <c:showLegendKey val="0"/>
          <c:showPercent val="0"/>
          <c:showSerName val="0"/>
          <c:showVal val="0"/>
        </c:dLbls>
        <c:smooth val="0"/>
        <c:axId val="1255501423"/>
        <c:axId val="1354404271"/>
      </c:lineChart>
      <c:catAx>
        <c:axId val="1255501423"/>
        <c:scaling>
          <c:orientation val="minMax"/>
        </c:scaling>
        <c:delete val="0"/>
        <c:axPos val="b"/>
        <c:numFmt formatCode="General" sourceLinked="1"/>
        <c:majorTickMark val="none"/>
        <c:minorTickMark val="none"/>
        <c:tickLblPos val="nextTo"/>
        <c:spPr bwMode="auto">
          <a:prstGeom prst="rect">
            <a:avLst/>
          </a:prstGeom>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a:solidFill>
                  <a:schemeClr val="tx1">
                    <a:lumMod val="65000"/>
                    <a:lumOff val="35000"/>
                  </a:schemeClr>
                </a:solidFill>
                <a:latin typeface="+mn-lt"/>
                <a:ea typeface="+mn-ea"/>
                <a:cs typeface="+mn-cs"/>
              </a:defRPr>
            </a:pPr>
            <a:endParaRPr lang="pt-BR"/>
          </a:p>
        </c:txPr>
        <c:crossAx val="1354404271"/>
        <c:crosses val="autoZero"/>
        <c:auto val="1"/>
        <c:lblAlgn val="ctr"/>
        <c:lblOffset val="100"/>
        <c:noMultiLvlLbl val="0"/>
      </c:catAx>
      <c:valAx>
        <c:axId val="1354404271"/>
        <c:scaling>
          <c:orientation val="minMax"/>
        </c:scaling>
        <c:delete val="0"/>
        <c:axPos val="l"/>
        <c:majorGridlines>
          <c:spPr bwMode="auto">
            <a:prstGeom prst="rect">
              <a:avLst/>
            </a:prstGeom>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a:solidFill>
                      <a:schemeClr val="tx1">
                        <a:lumMod val="65000"/>
                        <a:lumOff val="35000"/>
                      </a:schemeClr>
                    </a:solidFill>
                    <a:latin typeface="+mn-lt"/>
                    <a:ea typeface="+mn-ea"/>
                    <a:cs typeface="+mn-cs"/>
                  </a:defRPr>
                </a:pPr>
                <a:r>
                  <a:rPr lang="pt-BR"/>
                  <a:t>Valores</a:t>
                </a:r>
                <a:r>
                  <a:rPr lang="pt-BR"/>
                  <a:t> nominais</a:t>
                </a:r>
                <a:endParaRPr lang="pt-BR"/>
              </a:p>
            </c:rich>
          </c:tx>
          <c:layout/>
          <c:overlay val="0"/>
          <c:spPr bwMode="auto">
            <a:prstGeom prst="rect">
              <a:avLst/>
            </a:prstGeom>
            <a:noFill/>
            <a:ln>
              <a:noFill/>
            </a:ln>
            <a:effectLst/>
          </c:spPr>
          <c:txPr>
            <a:bodyPr rot="-5400000" spcFirstLastPara="1" vertOverflow="ellipsis" vert="horz" wrap="square" anchor="ctr" anchorCtr="1"/>
            <a:lstStyle/>
            <a:p>
              <a:pPr>
                <a:defRPr sz="1000" b="0" i="0" u="none" strike="noStrike">
                  <a:solidFill>
                    <a:schemeClr val="tx1">
                      <a:lumMod val="65000"/>
                      <a:lumOff val="35000"/>
                    </a:schemeClr>
                  </a:solidFill>
                  <a:latin typeface="+mn-lt"/>
                  <a:ea typeface="+mn-ea"/>
                  <a:cs typeface="+mn-cs"/>
                </a:defRPr>
              </a:pPr>
              <a:endParaRPr lang="pt-BR"/>
            </a:p>
          </c:txPr>
        </c:title>
        <c:numFmt formatCode="General" sourceLinked="1"/>
        <c:majorTickMark val="none"/>
        <c:minorTickMark val="none"/>
        <c:tickLblPos val="nextTo"/>
        <c:spPr bwMode="auto">
          <a:prstGeom prst="rect">
            <a:avLst/>
          </a:prstGeom>
          <a:noFill/>
          <a:ln>
            <a:noFill/>
          </a:ln>
          <a:effectLst/>
        </c:spPr>
        <c:txPr>
          <a:bodyPr rot="-60000000" spcFirstLastPara="1" vertOverflow="ellipsis" vert="horz" wrap="square" anchor="ctr" anchorCtr="1"/>
          <a:lstStyle/>
          <a:p>
            <a:pPr>
              <a:defRPr sz="900" b="0" i="0" u="none" strike="noStrike">
                <a:solidFill>
                  <a:schemeClr val="tx1">
                    <a:lumMod val="65000"/>
                    <a:lumOff val="35000"/>
                  </a:schemeClr>
                </a:solidFill>
                <a:latin typeface="+mn-lt"/>
                <a:ea typeface="+mn-ea"/>
                <a:cs typeface="+mn-cs"/>
              </a:defRPr>
            </a:pPr>
            <a:endParaRPr lang="pt-BR"/>
          </a:p>
        </c:txPr>
        <c:crossAx val="1255501423"/>
        <c:crosses val="autoZero"/>
        <c:crossBetween val="between"/>
      </c:valAx>
      <c:spPr bwMode="auto">
        <a:prstGeom prst="rect">
          <a:avLst/>
        </a:prstGeom>
        <a:noFill/>
        <a:ln>
          <a:noFill/>
        </a:ln>
        <a:effectLst/>
      </c:spPr>
    </c:plotArea>
    <c:legend>
      <c:legendPos val="b"/>
      <c:layout/>
      <c:overlay val="0"/>
      <c:spPr bwMode="auto">
        <a:prstGeom prst="rect">
          <a:avLst/>
        </a:prstGeom>
        <a:noFill/>
        <a:ln>
          <a:noFill/>
        </a:ln>
        <a:effectLst/>
      </c:spPr>
      <c:txPr>
        <a:bodyPr rot="0" spcFirstLastPara="1" vertOverflow="ellipsis" vert="horz" wrap="square" anchor="ctr" anchorCtr="1"/>
        <a:lstStyle/>
        <a:p>
          <a:pPr>
            <a:defRPr sz="900" b="0" i="0" u="none" strike="noStrike">
              <a:solidFill>
                <a:schemeClr val="tx1">
                  <a:lumMod val="65000"/>
                  <a:lumOff val="35000"/>
                </a:schemeClr>
              </a:solidFill>
              <a:latin typeface="+mn-lt"/>
              <a:ea typeface="+mn-ea"/>
              <a:cs typeface="+mn-cs"/>
            </a:defRPr>
          </a:pPr>
          <a:endParaRPr lang="pt-BR"/>
        </a:p>
      </c:txPr>
    </c:legend>
    <c:plotVisOnly val="1"/>
    <c:dispBlanksAs val="gap"/>
    <c:showDLblsOverMax val="0"/>
  </c:chart>
  <c:spPr bwMode="auto">
    <a:prstGeom prst="rect">
      <a:avLst/>
    </a:prstGeom>
    <a:solidFill>
      <a:schemeClr val="bg1"/>
    </a:solidFill>
    <a:ln w="9525" cap="flat" cmpd="sng" algn="ctr">
      <a:solidFill>
        <a:schemeClr val="tx1">
          <a:lumMod val="15000"/>
          <a:lumOff val="85000"/>
        </a:schemeClr>
      </a:solidFill>
      <a:round/>
    </a:ln>
    <a:effectLst/>
  </c:spPr>
  <c:txPr>
    <a:bodyPr/>
    <a:lstStyle/>
    <a:p>
      <a:pPr>
        <a:defRPr/>
      </a:pPr>
      <a:endParaRPr lang="pt-BR"/>
    </a:p>
  </c:txPr>
  <c:externalData r:id="rId1">
    <c:autoUpdate val="1"/>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cs:axisTitle>
  <cs:categoryAxis>
    <cs:lnRef idx="0"/>
    <cs:fillRef idx="0"/>
    <cs:effectRef idx="0"/>
    <cs:fontRef idx="minor">
      <a:schemeClr val="tx1">
        <a:lumMod val="65000"/>
        <a:lumOff val="35000"/>
      </a:schemeClr>
    </cs:fontRef>
    <cs:spPr bwMode="auto">
      <a:prstGeom prst="rect">
        <a:avLst/>
      </a:prstGeom>
      <a:ln w="9525" cap="flat" cmpd="sng" algn="ctr">
        <a:solidFill>
          <a:schemeClr val="tx1">
            <a:lumMod val="15000"/>
            <a:lumOff val="85000"/>
          </a:schemeClr>
        </a:solidFill>
        <a:round/>
      </a:ln>
    </cs:spPr>
    <cs:defRPr sz="900"/>
  </cs:categoryAxis>
  <cs:chartArea>
    <cs:lnRef idx="0"/>
    <cs:fillRef idx="0"/>
    <cs:effectRef idx="0"/>
    <cs:fontRef idx="minor">
      <a:schemeClr val="tx1"/>
    </cs:fontRef>
    <cs:spPr bwMode="auto">
      <a:prstGeom prst="rect">
        <a:avLst/>
      </a:prstGeom>
      <a:solidFill>
        <a:schemeClr val="bg1"/>
      </a:solidFill>
      <a:ln w="9525" cap="flat" cmpd="sng" algn="ctr">
        <a:solidFill>
          <a:schemeClr val="tx1">
            <a:lumMod val="15000"/>
            <a:lumOff val="85000"/>
          </a:schemeClr>
        </a:solidFill>
        <a:round/>
      </a:ln>
    </cs:spPr>
    <cs:defRPr sz="1000"/>
  </cs:chartArea>
  <cs:dataLabel>
    <cs:lnRef idx="0"/>
    <cs:fillRef idx="0"/>
    <cs:effectRef idx="0"/>
    <cs:fontRef idx="minor">
      <a:schemeClr val="tx1">
        <a:lumMod val="75000"/>
        <a:lumOff val="25000"/>
      </a:schemeClr>
    </cs:fontRef>
    <cs:defRPr sz="900"/>
  </cs:dataLabel>
  <cs:dataLabelCallout>
    <cs:lnRef idx="0"/>
    <cs:fillRef idx="0"/>
    <cs:effectRef idx="0"/>
    <cs:fontRef idx="minor">
      <a:schemeClr val="dk1">
        <a:lumMod val="65000"/>
        <a:lumOff val="35000"/>
      </a:schemeClr>
    </cs:fontRef>
    <cs:spPr bwMode="auto">
      <a:prstGeom prst="rect">
        <a:avLst/>
      </a:prstGeom>
      <a:solidFill>
        <a:schemeClr val="lt1"/>
      </a:solidFill>
      <a:ln>
        <a:solidFill>
          <a:schemeClr val="dk1">
            <a:lumMod val="25000"/>
            <a:lumOff val="75000"/>
          </a:schemeClr>
        </a:solidFill>
      </a:ln>
    </cs:spPr>
    <cs:defRPr sz="9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bwMode="auto">
      <a:prstGeom prst="rect">
        <a:avLst/>
      </a:prstGeom>
      <a:solidFill>
        <a:schemeClr val="phClr"/>
      </a:solidFill>
    </cs:spPr>
  </cs:dataPoint>
  <cs:dataPoint3D>
    <cs:lnRef idx="0"/>
    <cs:fillRef idx="1">
      <cs:styleClr val="auto"/>
    </cs:fillRef>
    <cs:effectRef idx="0"/>
    <cs:fontRef idx="minor">
      <a:schemeClr val="tx1"/>
    </cs:fontRef>
    <cs:spPr bwMode="auto">
      <a:prstGeom prst="rect">
        <a:avLst/>
      </a:prstGeom>
      <a:solidFill>
        <a:schemeClr val="phClr"/>
      </a:solidFill>
    </cs:spPr>
  </cs:dataPoint3D>
  <cs:dataPointLine>
    <cs:lnRef idx="0">
      <cs:styleClr val="auto"/>
    </cs:lnRef>
    <cs:fillRef idx="1"/>
    <cs:effectRef idx="0"/>
    <cs:fontRef idx="minor">
      <a:schemeClr val="tx1"/>
    </cs:fontRef>
    <cs:spPr bwMode="auto">
      <a:prstGeom prst="rect">
        <a:avLst/>
      </a:prstGeom>
      <a:ln w="28575" cap="rnd">
        <a:solidFill>
          <a:schemeClr val="phClr"/>
        </a:solidFill>
        <a:round/>
      </a:ln>
    </cs:spPr>
  </cs:dataPointLine>
  <cs:dataPointMarker>
    <cs:lnRef idx="0">
      <cs:styleClr val="auto"/>
    </cs:lnRef>
    <cs:fillRef idx="1">
      <cs:styleClr val="auto"/>
    </cs:fillRef>
    <cs:effectRef idx="0"/>
    <cs:fontRef idx="minor">
      <a:schemeClr val="tx1"/>
    </cs:fontRef>
    <cs:spPr bwMode="auto">
      <a:prstGeom prst="rect">
        <a:avLst/>
      </a:prstGeom>
      <a:solidFill>
        <a:schemeClr val="phClr"/>
      </a:solidFill>
      <a:ln w="9525">
        <a:solidFill>
          <a:schemeClr val="phClr"/>
        </a:solidFill>
      </a:ln>
    </cs:spPr>
  </cs:dataPointMarker>
  <cs:dataPointWireframe>
    <cs:lnRef idx="0">
      <cs:styleClr val="auto"/>
    </cs:lnRef>
    <cs:fillRef idx="1"/>
    <cs:effectRef idx="0"/>
    <cs:fontRef idx="minor">
      <a:schemeClr val="tx1"/>
    </cs:fontRef>
    <cs:spPr bwMode="auto">
      <a:prstGeom prst="rect">
        <a:avLst/>
      </a:prstGeom>
      <a:ln w="9525" cap="rnd">
        <a:solidFill>
          <a:schemeClr val="phClr"/>
        </a:solidFill>
        <a:round/>
      </a:ln>
    </cs:spPr>
  </cs:dataPointWireframe>
  <cs:dataTable>
    <cs:lnRef idx="0"/>
    <cs:fillRef idx="0"/>
    <cs:effectRef idx="0"/>
    <cs:fontRef idx="minor">
      <a:schemeClr val="tx1">
        <a:lumMod val="65000"/>
        <a:lumOff val="35000"/>
      </a:schemeClr>
    </cs:fontRef>
    <cs:spPr bwMode="auto">
      <a:prstGeom prst="rect">
        <a:avLst/>
      </a:prstGeom>
      <a:noFill/>
      <a:ln w="9525" cap="flat" cmpd="sng" algn="ctr">
        <a:solidFill>
          <a:schemeClr val="tx1">
            <a:lumMod val="15000"/>
            <a:lumOff val="85000"/>
          </a:schemeClr>
        </a:solidFill>
        <a:round/>
      </a:ln>
    </cs:spPr>
    <cs:defRPr sz="900"/>
  </cs:dataTable>
  <cs:downBar>
    <cs:lnRef idx="0"/>
    <cs:fillRef idx="0"/>
    <cs:effectRef idx="0"/>
    <cs:fontRef idx="minor">
      <a:schemeClr val="dk1"/>
    </cs:fontRef>
    <cs:spPr bwMode="auto">
      <a:prstGeom prst="rect">
        <a:avLst/>
      </a:prstGeom>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bwMode="auto">
      <a:prstGeom prst="rect">
        <a:avLst/>
      </a:prstGeom>
      <a:ln w="9525" cap="flat" cmpd="sng" algn="ctr">
        <a:solidFill>
          <a:schemeClr val="tx1">
            <a:lumMod val="35000"/>
            <a:lumOff val="65000"/>
          </a:schemeClr>
        </a:solidFill>
        <a:round/>
      </a:ln>
    </cs:spPr>
  </cs:dropLine>
  <cs:errorBar>
    <cs:lnRef idx="0"/>
    <cs:fillRef idx="0"/>
    <cs:effectRef idx="0"/>
    <cs:fontRef idx="minor">
      <a:schemeClr val="tx1"/>
    </cs:fontRef>
    <cs:spPr bwMode="auto">
      <a:prstGeom prst="rect">
        <a:avLst/>
      </a:prstGeom>
      <a:ln w="9525" cap="flat" cmpd="sng" algn="ctr">
        <a:solidFill>
          <a:schemeClr val="tx1">
            <a:lumMod val="65000"/>
            <a:lumOff val="35000"/>
          </a:schemeClr>
        </a:solidFill>
        <a:round/>
      </a:ln>
    </cs:spPr>
  </cs:errorBar>
  <cs:floor>
    <cs:lnRef idx="0"/>
    <cs:fillRef idx="0"/>
    <cs:effectRef idx="0"/>
    <cs:fontRef idx="minor">
      <a:schemeClr val="tx1"/>
    </cs:fontRef>
    <cs:spPr bwMode="auto">
      <a:prstGeom prst="rect">
        <a:avLst/>
      </a:prstGeom>
      <a:noFill/>
      <a:ln>
        <a:noFill/>
      </a:ln>
    </cs:spPr>
  </cs:floor>
  <cs:gridlineMajor>
    <cs:lnRef idx="0"/>
    <cs:fillRef idx="0"/>
    <cs:effectRef idx="0"/>
    <cs:fontRef idx="minor">
      <a:schemeClr val="tx1"/>
    </cs:fontRef>
    <cs:spPr bwMode="auto">
      <a:prstGeom prst="rect">
        <a:avLst/>
      </a:prstGeom>
      <a:ln w="9525" cap="flat" cmpd="sng" algn="ctr">
        <a:solidFill>
          <a:schemeClr val="tx1">
            <a:lumMod val="15000"/>
            <a:lumOff val="85000"/>
          </a:schemeClr>
        </a:solidFill>
        <a:round/>
      </a:ln>
    </cs:spPr>
  </cs:gridlineMajor>
  <cs:gridlineMinor>
    <cs:lnRef idx="0"/>
    <cs:fillRef idx="0"/>
    <cs:effectRef idx="0"/>
    <cs:fontRef idx="minor">
      <a:schemeClr val="tx1"/>
    </cs:fontRef>
    <cs:spPr bwMode="auto">
      <a:prstGeom prst="rect">
        <a:avLst/>
      </a:prstGeom>
      <a:ln w="9525" cap="flat" cmpd="sng" algn="ctr">
        <a:solidFill>
          <a:schemeClr val="tx1">
            <a:lumMod val="5000"/>
            <a:lumOff val="95000"/>
          </a:schemeClr>
        </a:solidFill>
        <a:round/>
      </a:ln>
    </cs:spPr>
  </cs:gridlineMinor>
  <cs:hiLoLine>
    <cs:lnRef idx="0"/>
    <cs:fillRef idx="0"/>
    <cs:effectRef idx="0"/>
    <cs:fontRef idx="minor">
      <a:schemeClr val="tx1"/>
    </cs:fontRef>
    <cs:spPr bwMode="auto">
      <a:prstGeom prst="rect">
        <a:avLst/>
      </a:prstGeom>
      <a:ln w="9525" cap="flat" cmpd="sng" algn="ctr">
        <a:solidFill>
          <a:schemeClr val="tx1">
            <a:lumMod val="75000"/>
            <a:lumOff val="25000"/>
          </a:schemeClr>
        </a:solidFill>
        <a:round/>
      </a:ln>
    </cs:spPr>
  </cs:hiLoLine>
  <cs:leaderLine>
    <cs:lnRef idx="0"/>
    <cs:fillRef idx="0"/>
    <cs:effectRef idx="0"/>
    <cs:fontRef idx="minor">
      <a:schemeClr val="tx1"/>
    </cs:fontRef>
    <cs:spPr bwMode="auto">
      <a:prstGeom prst="rect">
        <a:avLst/>
      </a:prstGeom>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cs:legend>
  <cs:plotArea>
    <cs:lnRef idx="0"/>
    <cs:fillRef idx="0"/>
    <cs:effectRef idx="0"/>
    <cs:fontRef idx="minor">
      <a:schemeClr val="tx1"/>
    </cs:fontRef>
  </cs:plotArea>
  <cs:plotArea3D>
    <cs:lnRef idx="0"/>
    <cs:fillRef idx="0"/>
    <cs:effectRef idx="0"/>
    <cs:fontRef idx="minor">
      <a:schemeClr val="tx1"/>
    </cs:fontRef>
  </cs:plotArea3D>
  <cs:seriesAxis>
    <cs:lnRef idx="0"/>
    <cs:fillRef idx="0"/>
    <cs:effectRef idx="0"/>
    <cs:fontRef idx="minor">
      <a:schemeClr val="tx1">
        <a:lumMod val="65000"/>
        <a:lumOff val="35000"/>
      </a:schemeClr>
    </cs:fontRef>
    <cs:defRPr sz="900"/>
  </cs:seriesAxis>
  <cs:seriesLine>
    <cs:lnRef idx="0"/>
    <cs:fillRef idx="0"/>
    <cs:effectRef idx="0"/>
    <cs:fontRef idx="minor">
      <a:schemeClr val="tx1"/>
    </cs:fontRef>
    <cs:spPr bwMode="auto">
      <a:prstGeom prst="rect">
        <a:avLst/>
      </a:prstGeom>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spc="0"/>
  </cs:title>
  <cs:trendline>
    <cs:lnRef idx="0">
      <cs:styleClr val="auto"/>
    </cs:lnRef>
    <cs:fillRef idx="0"/>
    <cs:effectRef idx="0"/>
    <cs:fontRef idx="minor">
      <a:schemeClr val="tx1"/>
    </cs:fontRef>
    <cs:spPr bwMode="auto">
      <a:prstGeom prst="rect">
        <a:avLst/>
      </a:prstGeom>
      <a:ln w="19050" cap="rnd">
        <a:solidFill>
          <a:schemeClr val="phClr"/>
        </a:solidFill>
        <a:prstDash val="sysDot"/>
      </a:ln>
    </cs:spPr>
  </cs:trendline>
  <cs:trendlineLabel>
    <cs:lnRef idx="0"/>
    <cs:fillRef idx="0"/>
    <cs:effectRef idx="0"/>
    <cs:fontRef idx="minor">
      <a:schemeClr val="tx1">
        <a:lumMod val="65000"/>
        <a:lumOff val="35000"/>
      </a:schemeClr>
    </cs:fontRef>
    <cs:defRPr sz="900"/>
  </cs:trendlineLabel>
  <cs:upBar>
    <cs:lnRef idx="0"/>
    <cs:fillRef idx="0"/>
    <cs:effectRef idx="0"/>
    <cs:fontRef idx="minor">
      <a:schemeClr val="dk1"/>
    </cs:fontRef>
    <cs:spPr bwMode="auto">
      <a:prstGeom prst="rect">
        <a:avLst/>
      </a:prstGeom>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cs:valueAxis>
  <cs:wall>
    <cs:lnRef idx="0"/>
    <cs:fillRef idx="0"/>
    <cs:effectRef idx="0"/>
    <cs:fontRef idx="minor">
      <a:schemeClr val="tx1"/>
    </cs:fontRef>
    <cs:spPr bwMode="auto">
      <a:prstGeom prst="rect">
        <a:avLst/>
      </a:prstGeom>
      <a:noFill/>
      <a:ln>
        <a:noFill/>
      </a:ln>
    </cs:spPr>
  </cs:wall>
  <cs:dataPointMarkerLayout symbol="circle" size="5"/>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cs:axisTitle>
  <cs:categoryAxis>
    <cs:lnRef idx="0"/>
    <cs:fillRef idx="0"/>
    <cs:effectRef idx="0"/>
    <cs:fontRef idx="minor">
      <a:schemeClr val="tx1">
        <a:lumMod val="65000"/>
        <a:lumOff val="35000"/>
      </a:schemeClr>
    </cs:fontRef>
    <cs:spPr bwMode="auto">
      <a:prstGeom prst="rect">
        <a:avLst/>
      </a:prstGeom>
      <a:ln w="9525" cap="flat" cmpd="sng" algn="ctr">
        <a:solidFill>
          <a:schemeClr val="tx1">
            <a:lumMod val="15000"/>
            <a:lumOff val="85000"/>
          </a:schemeClr>
        </a:solidFill>
        <a:round/>
      </a:ln>
    </cs:spPr>
    <cs:defRPr sz="900"/>
  </cs:categoryAxis>
  <cs:chartArea>
    <cs:lnRef idx="0"/>
    <cs:fillRef idx="0"/>
    <cs:effectRef idx="0"/>
    <cs:fontRef idx="minor">
      <a:schemeClr val="tx1"/>
    </cs:fontRef>
    <cs:spPr bwMode="auto">
      <a:prstGeom prst="rect">
        <a:avLst/>
      </a:prstGeom>
      <a:solidFill>
        <a:schemeClr val="bg1"/>
      </a:solidFill>
      <a:ln w="9525" cap="flat" cmpd="sng" algn="ctr">
        <a:solidFill>
          <a:schemeClr val="tx1">
            <a:lumMod val="15000"/>
            <a:lumOff val="85000"/>
          </a:schemeClr>
        </a:solidFill>
        <a:round/>
      </a:ln>
    </cs:spPr>
    <cs:defRPr sz="1000"/>
  </cs:chartArea>
  <cs:dataLabel>
    <cs:lnRef idx="0"/>
    <cs:fillRef idx="0"/>
    <cs:effectRef idx="0"/>
    <cs:fontRef idx="minor">
      <a:schemeClr val="tx1">
        <a:lumMod val="75000"/>
        <a:lumOff val="25000"/>
      </a:schemeClr>
    </cs:fontRef>
    <cs:defRPr sz="900"/>
  </cs:dataLabel>
  <cs:dataLabelCallout>
    <cs:lnRef idx="0"/>
    <cs:fillRef idx="0"/>
    <cs:effectRef idx="0"/>
    <cs:fontRef idx="minor">
      <a:schemeClr val="dk1">
        <a:lumMod val="65000"/>
        <a:lumOff val="35000"/>
      </a:schemeClr>
    </cs:fontRef>
    <cs:spPr bwMode="auto">
      <a:prstGeom prst="rect">
        <a:avLst/>
      </a:prstGeom>
      <a:solidFill>
        <a:schemeClr val="lt1"/>
      </a:solidFill>
      <a:ln>
        <a:solidFill>
          <a:schemeClr val="dk1">
            <a:lumMod val="25000"/>
            <a:lumOff val="75000"/>
          </a:schemeClr>
        </a:solidFill>
      </a:ln>
    </cs:spPr>
    <cs:defRPr sz="9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bwMode="auto">
      <a:prstGeom prst="rect">
        <a:avLst/>
      </a:prstGeom>
      <a:solidFill>
        <a:schemeClr val="phClr"/>
      </a:solidFill>
    </cs:spPr>
  </cs:dataPoint>
  <cs:dataPoint3D>
    <cs:lnRef idx="0"/>
    <cs:fillRef idx="1">
      <cs:styleClr val="auto"/>
    </cs:fillRef>
    <cs:effectRef idx="0"/>
    <cs:fontRef idx="minor">
      <a:schemeClr val="tx1"/>
    </cs:fontRef>
    <cs:spPr bwMode="auto">
      <a:prstGeom prst="rect">
        <a:avLst/>
      </a:prstGeom>
      <a:solidFill>
        <a:schemeClr val="phClr"/>
      </a:solidFill>
    </cs:spPr>
  </cs:dataPoint3D>
  <cs:dataPointLine>
    <cs:lnRef idx="0">
      <cs:styleClr val="auto"/>
    </cs:lnRef>
    <cs:fillRef idx="1"/>
    <cs:effectRef idx="0"/>
    <cs:fontRef idx="minor">
      <a:schemeClr val="tx1"/>
    </cs:fontRef>
    <cs:spPr bwMode="auto">
      <a:prstGeom prst="rect">
        <a:avLst/>
      </a:prstGeom>
      <a:ln w="28575" cap="rnd">
        <a:solidFill>
          <a:schemeClr val="phClr"/>
        </a:solidFill>
        <a:round/>
      </a:ln>
    </cs:spPr>
  </cs:dataPointLine>
  <cs:dataPointMarker>
    <cs:lnRef idx="0">
      <cs:styleClr val="auto"/>
    </cs:lnRef>
    <cs:fillRef idx="1">
      <cs:styleClr val="auto"/>
    </cs:fillRef>
    <cs:effectRef idx="0"/>
    <cs:fontRef idx="minor">
      <a:schemeClr val="tx1"/>
    </cs:fontRef>
    <cs:spPr bwMode="auto">
      <a:prstGeom prst="rect">
        <a:avLst/>
      </a:prstGeom>
      <a:solidFill>
        <a:schemeClr val="phClr"/>
      </a:solidFill>
      <a:ln w="9525">
        <a:solidFill>
          <a:schemeClr val="phClr"/>
        </a:solidFill>
      </a:ln>
    </cs:spPr>
  </cs:dataPointMarker>
  <cs:dataPointWireframe>
    <cs:lnRef idx="0">
      <cs:styleClr val="auto"/>
    </cs:lnRef>
    <cs:fillRef idx="1"/>
    <cs:effectRef idx="0"/>
    <cs:fontRef idx="minor">
      <a:schemeClr val="tx1"/>
    </cs:fontRef>
    <cs:spPr bwMode="auto">
      <a:prstGeom prst="rect">
        <a:avLst/>
      </a:prstGeom>
      <a:ln w="9525" cap="rnd">
        <a:solidFill>
          <a:schemeClr val="phClr"/>
        </a:solidFill>
        <a:round/>
      </a:ln>
    </cs:spPr>
  </cs:dataPointWireframe>
  <cs:dataTable>
    <cs:lnRef idx="0"/>
    <cs:fillRef idx="0"/>
    <cs:effectRef idx="0"/>
    <cs:fontRef idx="minor">
      <a:schemeClr val="tx1">
        <a:lumMod val="65000"/>
        <a:lumOff val="35000"/>
      </a:schemeClr>
    </cs:fontRef>
    <cs:spPr bwMode="auto">
      <a:prstGeom prst="rect">
        <a:avLst/>
      </a:prstGeom>
      <a:noFill/>
      <a:ln w="9525" cap="flat" cmpd="sng" algn="ctr">
        <a:solidFill>
          <a:schemeClr val="tx1">
            <a:lumMod val="15000"/>
            <a:lumOff val="85000"/>
          </a:schemeClr>
        </a:solidFill>
        <a:round/>
      </a:ln>
    </cs:spPr>
    <cs:defRPr sz="900"/>
  </cs:dataTable>
  <cs:downBar>
    <cs:lnRef idx="0"/>
    <cs:fillRef idx="0"/>
    <cs:effectRef idx="0"/>
    <cs:fontRef idx="minor">
      <a:schemeClr val="dk1"/>
    </cs:fontRef>
    <cs:spPr bwMode="auto">
      <a:prstGeom prst="rect">
        <a:avLst/>
      </a:prstGeom>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bwMode="auto">
      <a:prstGeom prst="rect">
        <a:avLst/>
      </a:prstGeom>
      <a:ln w="9525" cap="flat" cmpd="sng" algn="ctr">
        <a:solidFill>
          <a:schemeClr val="tx1">
            <a:lumMod val="35000"/>
            <a:lumOff val="65000"/>
          </a:schemeClr>
        </a:solidFill>
        <a:round/>
      </a:ln>
    </cs:spPr>
  </cs:dropLine>
  <cs:errorBar>
    <cs:lnRef idx="0"/>
    <cs:fillRef idx="0"/>
    <cs:effectRef idx="0"/>
    <cs:fontRef idx="minor">
      <a:schemeClr val="tx1"/>
    </cs:fontRef>
    <cs:spPr bwMode="auto">
      <a:prstGeom prst="rect">
        <a:avLst/>
      </a:prstGeom>
      <a:ln w="9525" cap="flat" cmpd="sng" algn="ctr">
        <a:solidFill>
          <a:schemeClr val="tx1">
            <a:lumMod val="65000"/>
            <a:lumOff val="35000"/>
          </a:schemeClr>
        </a:solidFill>
        <a:round/>
      </a:ln>
    </cs:spPr>
  </cs:errorBar>
  <cs:floor>
    <cs:lnRef idx="0"/>
    <cs:fillRef idx="0"/>
    <cs:effectRef idx="0"/>
    <cs:fontRef idx="minor">
      <a:schemeClr val="tx1"/>
    </cs:fontRef>
    <cs:spPr bwMode="auto">
      <a:prstGeom prst="rect">
        <a:avLst/>
      </a:prstGeom>
      <a:noFill/>
      <a:ln>
        <a:noFill/>
      </a:ln>
    </cs:spPr>
  </cs:floor>
  <cs:gridlineMajor>
    <cs:lnRef idx="0"/>
    <cs:fillRef idx="0"/>
    <cs:effectRef idx="0"/>
    <cs:fontRef idx="minor">
      <a:schemeClr val="tx1"/>
    </cs:fontRef>
    <cs:spPr bwMode="auto">
      <a:prstGeom prst="rect">
        <a:avLst/>
      </a:prstGeom>
      <a:ln w="9525" cap="flat" cmpd="sng" algn="ctr">
        <a:solidFill>
          <a:schemeClr val="tx1">
            <a:lumMod val="15000"/>
            <a:lumOff val="85000"/>
          </a:schemeClr>
        </a:solidFill>
        <a:round/>
      </a:ln>
    </cs:spPr>
  </cs:gridlineMajor>
  <cs:gridlineMinor>
    <cs:lnRef idx="0"/>
    <cs:fillRef idx="0"/>
    <cs:effectRef idx="0"/>
    <cs:fontRef idx="minor">
      <a:schemeClr val="tx1"/>
    </cs:fontRef>
    <cs:spPr bwMode="auto">
      <a:prstGeom prst="rect">
        <a:avLst/>
      </a:prstGeom>
      <a:ln w="9525" cap="flat" cmpd="sng" algn="ctr">
        <a:solidFill>
          <a:schemeClr val="tx1">
            <a:lumMod val="5000"/>
            <a:lumOff val="95000"/>
          </a:schemeClr>
        </a:solidFill>
        <a:round/>
      </a:ln>
    </cs:spPr>
  </cs:gridlineMinor>
  <cs:hiLoLine>
    <cs:lnRef idx="0"/>
    <cs:fillRef idx="0"/>
    <cs:effectRef idx="0"/>
    <cs:fontRef idx="minor">
      <a:schemeClr val="tx1"/>
    </cs:fontRef>
    <cs:spPr bwMode="auto">
      <a:prstGeom prst="rect">
        <a:avLst/>
      </a:prstGeom>
      <a:ln w="9525" cap="flat" cmpd="sng" algn="ctr">
        <a:solidFill>
          <a:schemeClr val="tx1">
            <a:lumMod val="75000"/>
            <a:lumOff val="25000"/>
          </a:schemeClr>
        </a:solidFill>
        <a:round/>
      </a:ln>
    </cs:spPr>
  </cs:hiLoLine>
  <cs:leaderLine>
    <cs:lnRef idx="0"/>
    <cs:fillRef idx="0"/>
    <cs:effectRef idx="0"/>
    <cs:fontRef idx="minor">
      <a:schemeClr val="tx1"/>
    </cs:fontRef>
    <cs:spPr bwMode="auto">
      <a:prstGeom prst="rect">
        <a:avLst/>
      </a:prstGeom>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cs:legend>
  <cs:plotArea>
    <cs:lnRef idx="0"/>
    <cs:fillRef idx="0"/>
    <cs:effectRef idx="0"/>
    <cs:fontRef idx="minor">
      <a:schemeClr val="tx1"/>
    </cs:fontRef>
  </cs:plotArea>
  <cs:plotArea3D>
    <cs:lnRef idx="0"/>
    <cs:fillRef idx="0"/>
    <cs:effectRef idx="0"/>
    <cs:fontRef idx="minor">
      <a:schemeClr val="tx1"/>
    </cs:fontRef>
  </cs:plotArea3D>
  <cs:seriesAxis>
    <cs:lnRef idx="0"/>
    <cs:fillRef idx="0"/>
    <cs:effectRef idx="0"/>
    <cs:fontRef idx="minor">
      <a:schemeClr val="tx1">
        <a:lumMod val="65000"/>
        <a:lumOff val="35000"/>
      </a:schemeClr>
    </cs:fontRef>
    <cs:defRPr sz="900"/>
  </cs:seriesAxis>
  <cs:seriesLine>
    <cs:lnRef idx="0"/>
    <cs:fillRef idx="0"/>
    <cs:effectRef idx="0"/>
    <cs:fontRef idx="minor">
      <a:schemeClr val="tx1"/>
    </cs:fontRef>
    <cs:spPr bwMode="auto">
      <a:prstGeom prst="rect">
        <a:avLst/>
      </a:prstGeom>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spc="0"/>
  </cs:title>
  <cs:trendline>
    <cs:lnRef idx="0">
      <cs:styleClr val="auto"/>
    </cs:lnRef>
    <cs:fillRef idx="0"/>
    <cs:effectRef idx="0"/>
    <cs:fontRef idx="minor">
      <a:schemeClr val="tx1"/>
    </cs:fontRef>
    <cs:spPr bwMode="auto">
      <a:prstGeom prst="rect">
        <a:avLst/>
      </a:prstGeom>
      <a:ln w="19050" cap="rnd">
        <a:solidFill>
          <a:schemeClr val="phClr"/>
        </a:solidFill>
        <a:prstDash val="sysDot"/>
      </a:ln>
    </cs:spPr>
  </cs:trendline>
  <cs:trendlineLabel>
    <cs:lnRef idx="0"/>
    <cs:fillRef idx="0"/>
    <cs:effectRef idx="0"/>
    <cs:fontRef idx="minor">
      <a:schemeClr val="tx1">
        <a:lumMod val="65000"/>
        <a:lumOff val="35000"/>
      </a:schemeClr>
    </cs:fontRef>
    <cs:defRPr sz="900"/>
  </cs:trendlineLabel>
  <cs:upBar>
    <cs:lnRef idx="0"/>
    <cs:fillRef idx="0"/>
    <cs:effectRef idx="0"/>
    <cs:fontRef idx="minor">
      <a:schemeClr val="dk1"/>
    </cs:fontRef>
    <cs:spPr bwMode="auto">
      <a:prstGeom prst="rect">
        <a:avLst/>
      </a:prstGeom>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cs:valueAxis>
  <cs:wall>
    <cs:lnRef idx="0"/>
    <cs:fillRef idx="0"/>
    <cs:effectRef idx="0"/>
    <cs:fontRef idx="minor">
      <a:schemeClr val="tx1"/>
    </cs:fontRef>
    <cs:spPr bwMode="auto">
      <a:prstGeom prst="rect">
        <a:avLst/>
      </a:prstGeom>
      <a:noFill/>
      <a:ln>
        <a:noFill/>
      </a:ln>
    </cs:spPr>
  </cs:wall>
  <cs:dataPointMarkerLayout symbol="circle" size="5"/>
</cs:chartStyle>
</file>

<file path=word/theme/theme1.xml><?xml version="1.0" encoding="utf-8"?>
<a:theme xmlns:a="http://schemas.openxmlformats.org/drawingml/2006/main" xmlns:r="http://schemas.openxmlformats.org/officeDocument/2006/relationships" xmlns:p="http://schemas.openxmlformats.org/presentationml/2006/main" name="Tema do Office">
  <a:themeElements>
    <a:clrScheme name="Letreiro">
      <a:dk1>
        <a:srgbClr val="000000"/>
      </a:dk1>
      <a:lt1>
        <a:sysClr val="window" lastClr="FFFFFF"/>
      </a:lt1>
      <a:dk2>
        <a:srgbClr val="5E5E5E"/>
      </a:dk2>
      <a:lt2>
        <a:srgbClr val="DDDDDD"/>
      </a:lt2>
      <a:accent1>
        <a:srgbClr val="418AB3"/>
      </a:accent1>
      <a:accent2>
        <a:srgbClr val="A6B727"/>
      </a:accent2>
      <a:accent3>
        <a:srgbClr val="F69200"/>
      </a:accent3>
      <a:accent4>
        <a:srgbClr val="838383"/>
      </a:accent4>
      <a:accent5>
        <a:srgbClr val="FEC306"/>
      </a:accent5>
      <a:accent6>
        <a:srgbClr val="DF5327"/>
      </a:accent6>
      <a:hlink>
        <a:srgbClr val="F59E00"/>
      </a:hlink>
      <a:folHlink>
        <a:srgbClr val="B2B2B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1D4B31-17A0-4062-9C26-05FC9EC558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Application>ONLYOFFICE/9.4.0.129</Application>
  <DocSecurity>0</DocSecurity>
  <ScaleCrop>0</ScaleCrop>
  <HeadingPairs>
    <vt:vector size="0" baseType="variant"/>
  </HeadingPairs>
  <TitlesOfParts>
    <vt:vector size="0" baseType="lpstr"/>
  </TitlesOfParts>
  <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revision>60</cp:revision>
  <dcterms:created xsi:type="dcterms:W3CDTF">2025-12-14T18:57:00Z</dcterms:created>
  <dcterms:modified xsi:type="dcterms:W3CDTF">2026-07-29T16:57:05Z</dcterms:modified>
</cp:coreProperties>
</file>